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F689" w14:textId="3E063F60" w:rsidR="00463486" w:rsidRPr="00895FCB" w:rsidRDefault="008B3DBC" w:rsidP="008B3DBC">
      <w:pPr>
        <w:spacing w:after="0"/>
        <w:rPr>
          <w:b/>
          <w:bCs/>
        </w:rPr>
      </w:pPr>
      <w:r w:rsidRPr="00895FCB">
        <w:rPr>
          <w:b/>
          <w:bCs/>
        </w:rPr>
        <w:t xml:space="preserve">Lisa </w:t>
      </w:r>
      <w:r w:rsidR="002B2342" w:rsidRPr="00895FCB">
        <w:rPr>
          <w:b/>
          <w:bCs/>
        </w:rPr>
        <w:t>4</w:t>
      </w:r>
      <w:r w:rsidRPr="00895FCB">
        <w:rPr>
          <w:b/>
          <w:bCs/>
        </w:rPr>
        <w:t xml:space="preserve">. </w:t>
      </w:r>
      <w:r w:rsidR="00FF5B90" w:rsidRPr="00895FCB">
        <w:rPr>
          <w:b/>
          <w:bCs/>
        </w:rPr>
        <w:t xml:space="preserve"> </w:t>
      </w:r>
      <w:r w:rsidR="002B2342" w:rsidRPr="00895FCB">
        <w:rPr>
          <w:b/>
          <w:bCs/>
        </w:rPr>
        <w:t>S</w:t>
      </w:r>
      <w:r w:rsidR="00463486" w:rsidRPr="00895FCB">
        <w:rPr>
          <w:b/>
          <w:bCs/>
        </w:rPr>
        <w:t>trateegiaprotsessi kirjeldus</w:t>
      </w:r>
    </w:p>
    <w:p w14:paraId="336BF496" w14:textId="77777777" w:rsidR="00463486" w:rsidRPr="00895FCB" w:rsidRDefault="00463486" w:rsidP="008B3DBC">
      <w:pPr>
        <w:spacing w:after="0"/>
      </w:pPr>
    </w:p>
    <w:p w14:paraId="694A96DE" w14:textId="5395248B" w:rsidR="008B3DBC" w:rsidRPr="00895FCB" w:rsidRDefault="002B2342" w:rsidP="008B3DBC">
      <w:pPr>
        <w:spacing w:after="0"/>
        <w:rPr>
          <w:b/>
          <w:bCs/>
        </w:rPr>
      </w:pPr>
      <w:r w:rsidRPr="00895FCB">
        <w:t>Ida-Harju Koostöökoja (IHKK)</w:t>
      </w:r>
      <w:r w:rsidR="008B3DBC" w:rsidRPr="00895FCB">
        <w:t xml:space="preserve"> strateegia koostamine toimus ajavahemikus </w:t>
      </w:r>
      <w:r w:rsidR="000C1F3B" w:rsidRPr="00895FCB">
        <w:t>juuni</w:t>
      </w:r>
      <w:r w:rsidR="008B3DBC" w:rsidRPr="00895FCB">
        <w:t xml:space="preserve"> 2022 - </w:t>
      </w:r>
      <w:r w:rsidRPr="00895FCB">
        <w:t>mai</w:t>
      </w:r>
      <w:r w:rsidR="008B3DBC" w:rsidRPr="00895FCB">
        <w:t xml:space="preserve"> 2023. Protsessi kaasati tegevuspiirkonna erinevad huvipooled, sh kõik piirkonna omavalitsused (</w:t>
      </w:r>
      <w:r w:rsidR="00FF5B90" w:rsidRPr="00895FCB">
        <w:t>3</w:t>
      </w:r>
      <w:r w:rsidR="008B3DBC" w:rsidRPr="00895FCB">
        <w:t xml:space="preserve">), ettevõtete ja vabaühenduste esindajad ning teised huvitatud isikud. Avalikustamise raames loodi võimalus sõna sekka öelda kõigil tegevuspiirkonna elanikel. </w:t>
      </w:r>
      <w:r w:rsidR="008B3DBC" w:rsidRPr="00895FCB">
        <w:rPr>
          <w:b/>
          <w:bCs/>
        </w:rPr>
        <w:t xml:space="preserve">Kokku osales strateegiaprotsessis u </w:t>
      </w:r>
      <w:r w:rsidR="002F7313" w:rsidRPr="00895FCB">
        <w:rPr>
          <w:b/>
          <w:bCs/>
        </w:rPr>
        <w:t>150</w:t>
      </w:r>
      <w:r w:rsidR="008B3DBC" w:rsidRPr="00895FCB">
        <w:rPr>
          <w:b/>
          <w:bCs/>
        </w:rPr>
        <w:t xml:space="preserve"> inimest. </w:t>
      </w:r>
    </w:p>
    <w:p w14:paraId="6D8AA720" w14:textId="77777777" w:rsidR="008B3DBC" w:rsidRPr="00895FCB" w:rsidRDefault="008B3DBC" w:rsidP="008B3DBC">
      <w:pPr>
        <w:spacing w:after="0"/>
      </w:pPr>
    </w:p>
    <w:p w14:paraId="7B3A66B7" w14:textId="019E5482" w:rsidR="008B3DBC" w:rsidRPr="00895FCB" w:rsidRDefault="008B3DBC" w:rsidP="008B3DBC">
      <w:pPr>
        <w:spacing w:after="0"/>
      </w:pPr>
      <w:r w:rsidRPr="00895FCB">
        <w:t xml:space="preserve">Strateegiaprotsessi läbiviimisel </w:t>
      </w:r>
      <w:r w:rsidRPr="00895FCB">
        <w:rPr>
          <w:b/>
          <w:bCs/>
        </w:rPr>
        <w:t xml:space="preserve">kombineeriti kvantitatiivseid ja kvalitatiivseid meetodeid, </w:t>
      </w:r>
      <w:r w:rsidRPr="00895FCB">
        <w:t xml:space="preserve">sh andmeanalüüs, küsitlus, </w:t>
      </w:r>
      <w:r w:rsidR="00DB2C5A" w:rsidRPr="00895FCB">
        <w:t>fookusgrupid, strateegiaseminarid</w:t>
      </w:r>
      <w:r w:rsidR="00FF5B90" w:rsidRPr="00895FCB">
        <w:t xml:space="preserve"> ja juhtrühma arutelud</w:t>
      </w:r>
      <w:r w:rsidRPr="00895FCB">
        <w:t xml:space="preserve">. Vastav lähenemine võimaldas saada nii üldist arusaama piirkonna arengutest, trendidest ja sihtrühmade ootustest kui ka </w:t>
      </w:r>
      <w:r w:rsidR="00D041EE" w:rsidRPr="00895FCB">
        <w:t>määratleda konkreetseid fookuseid meetmete lõikes</w:t>
      </w:r>
      <w:r w:rsidRPr="00895FCB">
        <w:t xml:space="preserve">. </w:t>
      </w:r>
    </w:p>
    <w:p w14:paraId="6ADCA998" w14:textId="77777777" w:rsidR="00983EB2" w:rsidRPr="00895FCB" w:rsidRDefault="00983EB2" w:rsidP="00983EB2">
      <w:pPr>
        <w:spacing w:after="0"/>
        <w:rPr>
          <w:b/>
          <w:bCs/>
        </w:rPr>
      </w:pPr>
    </w:p>
    <w:p w14:paraId="086A3255" w14:textId="3A0A66D6" w:rsidR="0006714F" w:rsidRPr="00895FCB" w:rsidRDefault="0006714F" w:rsidP="0005458B">
      <w:pPr>
        <w:spacing w:after="0"/>
      </w:pPr>
      <w:r w:rsidRPr="00895FCB">
        <w:t xml:space="preserve">Arengustrateegia koostamist koordineeris </w:t>
      </w:r>
      <w:r w:rsidR="002B2342" w:rsidRPr="00895FCB">
        <w:t>I</w:t>
      </w:r>
      <w:r w:rsidR="00FF5B90" w:rsidRPr="00895FCB">
        <w:t>HKK</w:t>
      </w:r>
      <w:r w:rsidR="00A54ED8" w:rsidRPr="00895FCB">
        <w:t xml:space="preserve"> </w:t>
      </w:r>
      <w:r w:rsidR="00882BDC" w:rsidRPr="00895FCB">
        <w:t>tegevmeeskond koos juhatusega</w:t>
      </w:r>
      <w:r w:rsidRPr="00895FCB">
        <w:t xml:space="preserve">, </w:t>
      </w:r>
      <w:r w:rsidR="00A54ED8" w:rsidRPr="00895FCB">
        <w:t>k</w:t>
      </w:r>
      <w:r w:rsidRPr="00895FCB">
        <w:t>onsultanti</w:t>
      </w:r>
      <w:r w:rsidR="00A54ED8" w:rsidRPr="00895FCB">
        <w:t>dena</w:t>
      </w:r>
      <w:r w:rsidRPr="00895FCB">
        <w:t xml:space="preserve"> toetas protsessi OÜ Cumulus Consulting.</w:t>
      </w:r>
      <w:r w:rsidR="002B2342" w:rsidRPr="00895FCB">
        <w:t xml:space="preserve"> </w:t>
      </w:r>
      <w:r w:rsidRPr="00895FCB">
        <w:t xml:space="preserve">Strateegia koostamise ja kaasamisprotsessi </w:t>
      </w:r>
      <w:r w:rsidR="00B94F6E" w:rsidRPr="00895FCB">
        <w:t>detailne ülevaade on väljatoodud</w:t>
      </w:r>
      <w:r w:rsidRPr="00895FCB">
        <w:t xml:space="preserve"> allolevas tabelis</w:t>
      </w:r>
      <w:r w:rsidR="00B3729F" w:rsidRPr="00895FCB">
        <w:t>.</w:t>
      </w:r>
    </w:p>
    <w:p w14:paraId="2BD771FD" w14:textId="77777777" w:rsidR="00983EB2" w:rsidRPr="00895FCB" w:rsidRDefault="00983EB2" w:rsidP="008B3DBC">
      <w:pPr>
        <w:spacing w:after="0"/>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774"/>
        <w:gridCol w:w="4452"/>
        <w:gridCol w:w="1614"/>
      </w:tblGrid>
      <w:tr w:rsidR="00895FCB" w:rsidRPr="00895FCB" w14:paraId="1E9A6210" w14:textId="77777777" w:rsidTr="003D31D6">
        <w:tc>
          <w:tcPr>
            <w:tcW w:w="1345" w:type="dxa"/>
            <w:shd w:val="clear" w:color="auto" w:fill="auto"/>
            <w:vAlign w:val="center"/>
          </w:tcPr>
          <w:p w14:paraId="6D1996C1" w14:textId="77777777" w:rsidR="0006714F" w:rsidRPr="00895FCB" w:rsidRDefault="0006714F" w:rsidP="008B3DBC">
            <w:pPr>
              <w:spacing w:after="0"/>
              <w:rPr>
                <w:b/>
                <w:sz w:val="22"/>
                <w:szCs w:val="22"/>
              </w:rPr>
            </w:pPr>
            <w:r w:rsidRPr="00895FCB">
              <w:rPr>
                <w:b/>
                <w:sz w:val="22"/>
                <w:szCs w:val="22"/>
              </w:rPr>
              <w:t>Aeg</w:t>
            </w:r>
          </w:p>
        </w:tc>
        <w:tc>
          <w:tcPr>
            <w:tcW w:w="1774" w:type="dxa"/>
            <w:shd w:val="clear" w:color="auto" w:fill="auto"/>
            <w:vAlign w:val="center"/>
          </w:tcPr>
          <w:p w14:paraId="09B96CF1" w14:textId="77777777" w:rsidR="0006714F" w:rsidRPr="00895FCB" w:rsidRDefault="0006714F" w:rsidP="008B3DBC">
            <w:pPr>
              <w:spacing w:after="0"/>
              <w:rPr>
                <w:b/>
                <w:sz w:val="22"/>
                <w:szCs w:val="22"/>
              </w:rPr>
            </w:pPr>
            <w:r w:rsidRPr="00895FCB">
              <w:rPr>
                <w:b/>
                <w:sz w:val="22"/>
                <w:szCs w:val="22"/>
              </w:rPr>
              <w:t>Sündmus</w:t>
            </w:r>
          </w:p>
        </w:tc>
        <w:tc>
          <w:tcPr>
            <w:tcW w:w="4452" w:type="dxa"/>
            <w:shd w:val="clear" w:color="auto" w:fill="auto"/>
            <w:vAlign w:val="center"/>
          </w:tcPr>
          <w:p w14:paraId="299512B9" w14:textId="77777777" w:rsidR="0006714F" w:rsidRPr="00895FCB" w:rsidRDefault="0006714F" w:rsidP="008B3DBC">
            <w:pPr>
              <w:spacing w:after="0"/>
              <w:rPr>
                <w:b/>
                <w:sz w:val="22"/>
                <w:szCs w:val="22"/>
              </w:rPr>
            </w:pPr>
            <w:r w:rsidRPr="00895FCB">
              <w:rPr>
                <w:b/>
                <w:sz w:val="22"/>
                <w:szCs w:val="22"/>
              </w:rPr>
              <w:t>Sisu</w:t>
            </w:r>
          </w:p>
        </w:tc>
        <w:tc>
          <w:tcPr>
            <w:tcW w:w="1614" w:type="dxa"/>
            <w:shd w:val="clear" w:color="auto" w:fill="auto"/>
            <w:vAlign w:val="center"/>
          </w:tcPr>
          <w:p w14:paraId="56FC0D63" w14:textId="77777777" w:rsidR="0006714F" w:rsidRPr="00895FCB" w:rsidRDefault="0006714F" w:rsidP="008B3DBC">
            <w:pPr>
              <w:spacing w:after="0"/>
              <w:rPr>
                <w:b/>
                <w:sz w:val="22"/>
                <w:szCs w:val="22"/>
              </w:rPr>
            </w:pPr>
            <w:r w:rsidRPr="00895FCB">
              <w:rPr>
                <w:b/>
                <w:sz w:val="22"/>
                <w:szCs w:val="22"/>
              </w:rPr>
              <w:t>Osalejate arv</w:t>
            </w:r>
          </w:p>
        </w:tc>
      </w:tr>
      <w:tr w:rsidR="00895FCB" w:rsidRPr="00895FCB" w14:paraId="04AD4E09" w14:textId="77777777" w:rsidTr="003D31D6">
        <w:tc>
          <w:tcPr>
            <w:tcW w:w="1345" w:type="dxa"/>
            <w:shd w:val="clear" w:color="auto" w:fill="auto"/>
            <w:vAlign w:val="center"/>
          </w:tcPr>
          <w:p w14:paraId="557DB0F2" w14:textId="1071D644" w:rsidR="00C74AEF" w:rsidRPr="00895FCB" w:rsidRDefault="00C74AEF" w:rsidP="00C74AEF">
            <w:pPr>
              <w:spacing w:after="0"/>
              <w:jc w:val="left"/>
              <w:rPr>
                <w:bCs/>
                <w:sz w:val="22"/>
                <w:szCs w:val="22"/>
              </w:rPr>
            </w:pPr>
            <w:r w:rsidRPr="00895FCB">
              <w:rPr>
                <w:bCs/>
                <w:sz w:val="22"/>
                <w:szCs w:val="22"/>
              </w:rPr>
              <w:t>2</w:t>
            </w:r>
            <w:r w:rsidR="000C1F3B" w:rsidRPr="00895FCB">
              <w:rPr>
                <w:bCs/>
                <w:sz w:val="22"/>
                <w:szCs w:val="22"/>
              </w:rPr>
              <w:t>9</w:t>
            </w:r>
            <w:r w:rsidRPr="00895FCB">
              <w:rPr>
                <w:bCs/>
                <w:sz w:val="22"/>
                <w:szCs w:val="22"/>
              </w:rPr>
              <w:t xml:space="preserve">. </w:t>
            </w:r>
            <w:r w:rsidR="000C1F3B" w:rsidRPr="00895FCB">
              <w:rPr>
                <w:bCs/>
                <w:sz w:val="22"/>
                <w:szCs w:val="22"/>
              </w:rPr>
              <w:t>juuni</w:t>
            </w:r>
            <w:r w:rsidRPr="00895FCB">
              <w:rPr>
                <w:bCs/>
                <w:sz w:val="22"/>
                <w:szCs w:val="22"/>
              </w:rPr>
              <w:t xml:space="preserve"> 2022</w:t>
            </w:r>
          </w:p>
        </w:tc>
        <w:tc>
          <w:tcPr>
            <w:tcW w:w="1774" w:type="dxa"/>
            <w:shd w:val="clear" w:color="auto" w:fill="auto"/>
            <w:vAlign w:val="center"/>
          </w:tcPr>
          <w:p w14:paraId="51FA09EE" w14:textId="744F35B0" w:rsidR="00C74AEF" w:rsidRPr="00895FCB" w:rsidRDefault="00C74AEF" w:rsidP="00C74AEF">
            <w:pPr>
              <w:spacing w:after="0"/>
              <w:jc w:val="left"/>
              <w:rPr>
                <w:bCs/>
                <w:sz w:val="22"/>
                <w:szCs w:val="22"/>
              </w:rPr>
            </w:pPr>
            <w:r w:rsidRPr="00895FCB">
              <w:rPr>
                <w:bCs/>
                <w:sz w:val="22"/>
                <w:szCs w:val="22"/>
              </w:rPr>
              <w:t>Strateegia avaseminar</w:t>
            </w:r>
            <w:r w:rsidR="000C1F3B" w:rsidRPr="00895FCB">
              <w:rPr>
                <w:bCs/>
                <w:sz w:val="22"/>
                <w:szCs w:val="22"/>
              </w:rPr>
              <w:t xml:space="preserve"> </w:t>
            </w:r>
          </w:p>
        </w:tc>
        <w:tc>
          <w:tcPr>
            <w:tcW w:w="4452" w:type="dxa"/>
            <w:shd w:val="clear" w:color="auto" w:fill="auto"/>
            <w:vAlign w:val="center"/>
          </w:tcPr>
          <w:p w14:paraId="005BDD63" w14:textId="1FA4CCE7" w:rsidR="00C74AEF" w:rsidRPr="00895FCB" w:rsidRDefault="000C1F3B" w:rsidP="00C74AEF">
            <w:pPr>
              <w:spacing w:after="0"/>
              <w:jc w:val="left"/>
              <w:rPr>
                <w:bCs/>
                <w:sz w:val="22"/>
                <w:szCs w:val="22"/>
              </w:rPr>
            </w:pPr>
            <w:r w:rsidRPr="00895FCB">
              <w:rPr>
                <w:bCs/>
                <w:sz w:val="22"/>
                <w:szCs w:val="22"/>
              </w:rPr>
              <w:t>Ülevaade strateegiaprotsessist ja tegevustest; arutelud senise IHKK strateegia toimivuse ja uue perioodi visiooni ja fookuste osas</w:t>
            </w:r>
          </w:p>
        </w:tc>
        <w:tc>
          <w:tcPr>
            <w:tcW w:w="1614" w:type="dxa"/>
            <w:shd w:val="clear" w:color="auto" w:fill="auto"/>
            <w:vAlign w:val="center"/>
          </w:tcPr>
          <w:p w14:paraId="5F48BDFC" w14:textId="022E5300" w:rsidR="00C74AEF" w:rsidRPr="00895FCB" w:rsidRDefault="00F55927" w:rsidP="00C74AEF">
            <w:pPr>
              <w:spacing w:after="0"/>
              <w:jc w:val="left"/>
              <w:rPr>
                <w:bCs/>
                <w:sz w:val="22"/>
                <w:szCs w:val="22"/>
              </w:rPr>
            </w:pPr>
            <w:r w:rsidRPr="00895FCB">
              <w:rPr>
                <w:bCs/>
                <w:sz w:val="22"/>
                <w:szCs w:val="22"/>
              </w:rPr>
              <w:t>29</w:t>
            </w:r>
          </w:p>
        </w:tc>
      </w:tr>
      <w:tr w:rsidR="00895FCB" w:rsidRPr="00895FCB" w14:paraId="2A11BE13" w14:textId="77777777" w:rsidTr="003D31D6">
        <w:tc>
          <w:tcPr>
            <w:tcW w:w="1345" w:type="dxa"/>
            <w:shd w:val="clear" w:color="auto" w:fill="auto"/>
            <w:vAlign w:val="center"/>
          </w:tcPr>
          <w:p w14:paraId="69CF8A7C" w14:textId="428C1489" w:rsidR="00497621" w:rsidRPr="00895FCB" w:rsidRDefault="00497621" w:rsidP="00901FFB">
            <w:pPr>
              <w:spacing w:after="0"/>
              <w:jc w:val="left"/>
              <w:rPr>
                <w:sz w:val="22"/>
                <w:szCs w:val="22"/>
              </w:rPr>
            </w:pPr>
            <w:r w:rsidRPr="00895FCB">
              <w:rPr>
                <w:sz w:val="22"/>
                <w:szCs w:val="22"/>
              </w:rPr>
              <w:t xml:space="preserve">Juuni-september 2022 </w:t>
            </w:r>
          </w:p>
          <w:p w14:paraId="5A00A02C" w14:textId="77777777" w:rsidR="00497621" w:rsidRPr="00895FCB" w:rsidRDefault="00497621" w:rsidP="00901FFB">
            <w:pPr>
              <w:spacing w:after="0"/>
              <w:jc w:val="left"/>
              <w:rPr>
                <w:sz w:val="22"/>
                <w:szCs w:val="22"/>
              </w:rPr>
            </w:pPr>
          </w:p>
        </w:tc>
        <w:tc>
          <w:tcPr>
            <w:tcW w:w="1774" w:type="dxa"/>
            <w:shd w:val="clear" w:color="auto" w:fill="auto"/>
            <w:vAlign w:val="center"/>
          </w:tcPr>
          <w:p w14:paraId="53B747CC" w14:textId="670B1C80" w:rsidR="00497621" w:rsidRPr="00895FCB" w:rsidRDefault="00497621" w:rsidP="00497621">
            <w:pPr>
              <w:spacing w:after="0"/>
              <w:jc w:val="left"/>
              <w:rPr>
                <w:sz w:val="22"/>
                <w:szCs w:val="22"/>
              </w:rPr>
            </w:pPr>
            <w:r w:rsidRPr="00895FCB">
              <w:rPr>
                <w:sz w:val="22"/>
                <w:szCs w:val="22"/>
              </w:rPr>
              <w:t xml:space="preserve">Veebipõhiste küsitluste läbiviimine </w:t>
            </w:r>
          </w:p>
        </w:tc>
        <w:tc>
          <w:tcPr>
            <w:tcW w:w="4452" w:type="dxa"/>
            <w:shd w:val="clear" w:color="auto" w:fill="auto"/>
            <w:vAlign w:val="center"/>
          </w:tcPr>
          <w:p w14:paraId="06BCEA88" w14:textId="283118FE" w:rsidR="00497621" w:rsidRPr="00895FCB" w:rsidRDefault="00497621" w:rsidP="00497621">
            <w:pPr>
              <w:pStyle w:val="ListParagraph"/>
              <w:numPr>
                <w:ilvl w:val="0"/>
                <w:numId w:val="15"/>
              </w:numPr>
              <w:spacing w:after="0"/>
              <w:jc w:val="left"/>
              <w:rPr>
                <w:sz w:val="22"/>
                <w:szCs w:val="22"/>
              </w:rPr>
            </w:pPr>
            <w:r w:rsidRPr="00895FCB">
              <w:rPr>
                <w:sz w:val="22"/>
                <w:szCs w:val="22"/>
              </w:rPr>
              <w:t>Küsitlus  IHKK liikmeskonna, taotlejate ja hindajate hulgas. Küsitlusele vastas kokku 28 isikut (vt strateegia lisa 2).</w:t>
            </w:r>
          </w:p>
          <w:p w14:paraId="394A5166" w14:textId="1E901EA4" w:rsidR="00497621" w:rsidRPr="00895FCB" w:rsidRDefault="00497621" w:rsidP="00497621">
            <w:pPr>
              <w:pStyle w:val="ListParagraph"/>
              <w:numPr>
                <w:ilvl w:val="0"/>
                <w:numId w:val="15"/>
              </w:numPr>
              <w:spacing w:after="0"/>
              <w:jc w:val="left"/>
              <w:rPr>
                <w:sz w:val="22"/>
                <w:szCs w:val="22"/>
              </w:rPr>
            </w:pPr>
            <w:r w:rsidRPr="00895FCB">
              <w:rPr>
                <w:sz w:val="22"/>
                <w:szCs w:val="22"/>
              </w:rPr>
              <w:t>Küsitlus  IHKK meetmetest eelmisel programmiperioodil rahastatud IHKK projekti(de) kohta. Küsitlusele vastas kokku 35 toetuse saanud organisatsiooni 57  ellu viidud projekti kohta (vt strateegia lisa 3).</w:t>
            </w:r>
          </w:p>
        </w:tc>
        <w:tc>
          <w:tcPr>
            <w:tcW w:w="1614" w:type="dxa"/>
            <w:shd w:val="clear" w:color="auto" w:fill="auto"/>
            <w:vAlign w:val="center"/>
          </w:tcPr>
          <w:p w14:paraId="73218C4B" w14:textId="4545477E" w:rsidR="00497621" w:rsidRPr="00895FCB" w:rsidRDefault="00497621" w:rsidP="00901FFB">
            <w:pPr>
              <w:spacing w:after="0"/>
              <w:jc w:val="left"/>
              <w:rPr>
                <w:sz w:val="22"/>
                <w:szCs w:val="22"/>
              </w:rPr>
            </w:pPr>
            <w:r w:rsidRPr="00895FCB">
              <w:rPr>
                <w:sz w:val="22"/>
                <w:szCs w:val="22"/>
              </w:rPr>
              <w:t>Kokku vastas küsitlusele 63 inimest/organisatsiooni</w:t>
            </w:r>
          </w:p>
          <w:p w14:paraId="69101C12" w14:textId="77777777" w:rsidR="00497621" w:rsidRPr="00895FCB" w:rsidRDefault="00497621" w:rsidP="00901FFB">
            <w:pPr>
              <w:spacing w:after="0"/>
              <w:jc w:val="left"/>
              <w:rPr>
                <w:sz w:val="22"/>
                <w:szCs w:val="22"/>
              </w:rPr>
            </w:pPr>
          </w:p>
        </w:tc>
      </w:tr>
      <w:tr w:rsidR="00895FCB" w:rsidRPr="00895FCB" w14:paraId="1AB011DD" w14:textId="77777777" w:rsidTr="003D31D6">
        <w:tc>
          <w:tcPr>
            <w:tcW w:w="1345" w:type="dxa"/>
            <w:shd w:val="clear" w:color="auto" w:fill="auto"/>
            <w:vAlign w:val="center"/>
          </w:tcPr>
          <w:p w14:paraId="6B43B0CB" w14:textId="702936CD" w:rsidR="00497621" w:rsidRPr="00895FCB" w:rsidRDefault="00497621" w:rsidP="00901FFB">
            <w:pPr>
              <w:spacing w:after="0"/>
              <w:jc w:val="left"/>
              <w:rPr>
                <w:sz w:val="22"/>
                <w:szCs w:val="22"/>
              </w:rPr>
            </w:pPr>
            <w:r w:rsidRPr="00895FCB">
              <w:rPr>
                <w:sz w:val="22"/>
                <w:szCs w:val="22"/>
              </w:rPr>
              <w:t>Juuni – oktoober 2022</w:t>
            </w:r>
          </w:p>
        </w:tc>
        <w:tc>
          <w:tcPr>
            <w:tcW w:w="1774" w:type="dxa"/>
            <w:shd w:val="clear" w:color="auto" w:fill="auto"/>
            <w:vAlign w:val="center"/>
          </w:tcPr>
          <w:p w14:paraId="1EE24DDD" w14:textId="77777777" w:rsidR="00497621" w:rsidRPr="00895FCB" w:rsidRDefault="00497621" w:rsidP="00901FFB">
            <w:pPr>
              <w:spacing w:after="0"/>
              <w:jc w:val="left"/>
              <w:rPr>
                <w:sz w:val="22"/>
                <w:szCs w:val="22"/>
              </w:rPr>
            </w:pPr>
            <w:r w:rsidRPr="00895FCB">
              <w:rPr>
                <w:sz w:val="22"/>
                <w:szCs w:val="22"/>
              </w:rPr>
              <w:t>Analüütilised tegevused</w:t>
            </w:r>
          </w:p>
        </w:tc>
        <w:tc>
          <w:tcPr>
            <w:tcW w:w="4452" w:type="dxa"/>
            <w:shd w:val="clear" w:color="auto" w:fill="auto"/>
            <w:vAlign w:val="center"/>
          </w:tcPr>
          <w:p w14:paraId="6AD1E356" w14:textId="77777777" w:rsidR="00497621" w:rsidRPr="00895FCB" w:rsidRDefault="00497621" w:rsidP="00901FFB">
            <w:pPr>
              <w:spacing w:after="0"/>
              <w:jc w:val="left"/>
              <w:rPr>
                <w:sz w:val="22"/>
                <w:szCs w:val="22"/>
              </w:rPr>
            </w:pPr>
            <w:r w:rsidRPr="00895FCB">
              <w:rPr>
                <w:sz w:val="22"/>
                <w:szCs w:val="22"/>
              </w:rPr>
              <w:t>Analüütilised tööd hõlmasid järgnevat:</w:t>
            </w:r>
          </w:p>
          <w:p w14:paraId="110B4219" w14:textId="77777777" w:rsidR="00497621" w:rsidRPr="00895FCB" w:rsidRDefault="00497621" w:rsidP="00901FFB">
            <w:pPr>
              <w:pStyle w:val="ListParagraph"/>
              <w:numPr>
                <w:ilvl w:val="0"/>
                <w:numId w:val="2"/>
              </w:numPr>
              <w:spacing w:after="0"/>
              <w:jc w:val="left"/>
              <w:rPr>
                <w:sz w:val="22"/>
                <w:szCs w:val="22"/>
              </w:rPr>
            </w:pPr>
            <w:r w:rsidRPr="00895FCB">
              <w:rPr>
                <w:sz w:val="22"/>
                <w:szCs w:val="22"/>
              </w:rPr>
              <w:t>tegevuspiirkonna sotsiaalmajandusliku analüüsi koostamine;</w:t>
            </w:r>
          </w:p>
          <w:p w14:paraId="77F36343" w14:textId="77777777" w:rsidR="00497621" w:rsidRPr="00895FCB" w:rsidRDefault="00497621" w:rsidP="00901FFB">
            <w:pPr>
              <w:pStyle w:val="ListParagraph"/>
              <w:numPr>
                <w:ilvl w:val="0"/>
                <w:numId w:val="2"/>
              </w:numPr>
              <w:spacing w:after="0"/>
              <w:jc w:val="left"/>
              <w:rPr>
                <w:sz w:val="22"/>
                <w:szCs w:val="22"/>
              </w:rPr>
            </w:pPr>
            <w:r w:rsidRPr="00895FCB">
              <w:rPr>
                <w:sz w:val="22"/>
                <w:szCs w:val="22"/>
              </w:rPr>
              <w:t>eelmise strateegiaperioodi seirenäitajate analüüs.</w:t>
            </w:r>
          </w:p>
        </w:tc>
        <w:tc>
          <w:tcPr>
            <w:tcW w:w="1614" w:type="dxa"/>
            <w:shd w:val="clear" w:color="auto" w:fill="auto"/>
            <w:vAlign w:val="center"/>
          </w:tcPr>
          <w:p w14:paraId="4F340BA8" w14:textId="77777777" w:rsidR="00497621" w:rsidRPr="00895FCB" w:rsidRDefault="00497621" w:rsidP="00901FFB">
            <w:pPr>
              <w:spacing w:after="0"/>
              <w:jc w:val="left"/>
              <w:rPr>
                <w:sz w:val="22"/>
                <w:szCs w:val="22"/>
              </w:rPr>
            </w:pPr>
            <w:r w:rsidRPr="00895FCB">
              <w:rPr>
                <w:sz w:val="22"/>
                <w:szCs w:val="22"/>
              </w:rPr>
              <w:t>-</w:t>
            </w:r>
          </w:p>
        </w:tc>
      </w:tr>
      <w:tr w:rsidR="00895FCB" w:rsidRPr="00895FCB" w14:paraId="787B7A20" w14:textId="77777777" w:rsidTr="003D31D6">
        <w:tc>
          <w:tcPr>
            <w:tcW w:w="1345" w:type="dxa"/>
            <w:shd w:val="clear" w:color="auto" w:fill="auto"/>
            <w:vAlign w:val="center"/>
          </w:tcPr>
          <w:p w14:paraId="36A6A882" w14:textId="7C4796A5" w:rsidR="00497621" w:rsidRPr="00895FCB" w:rsidRDefault="00497621" w:rsidP="00901FFB">
            <w:pPr>
              <w:spacing w:after="0"/>
              <w:jc w:val="left"/>
              <w:rPr>
                <w:sz w:val="22"/>
                <w:szCs w:val="22"/>
              </w:rPr>
            </w:pPr>
            <w:r w:rsidRPr="00895FCB">
              <w:rPr>
                <w:sz w:val="22"/>
                <w:szCs w:val="22"/>
              </w:rPr>
              <w:t>September – november 2022</w:t>
            </w:r>
          </w:p>
        </w:tc>
        <w:tc>
          <w:tcPr>
            <w:tcW w:w="1774" w:type="dxa"/>
            <w:shd w:val="clear" w:color="auto" w:fill="auto"/>
            <w:vAlign w:val="center"/>
          </w:tcPr>
          <w:p w14:paraId="329B4756" w14:textId="61A8CE68" w:rsidR="00497621" w:rsidRPr="00895FCB" w:rsidRDefault="00497621" w:rsidP="00901FFB">
            <w:pPr>
              <w:spacing w:after="0"/>
              <w:jc w:val="left"/>
              <w:rPr>
                <w:sz w:val="22"/>
                <w:szCs w:val="22"/>
              </w:rPr>
            </w:pPr>
            <w:r w:rsidRPr="00895FCB">
              <w:rPr>
                <w:sz w:val="22"/>
                <w:szCs w:val="22"/>
              </w:rPr>
              <w:t>Fookusgruppide läbiviimine</w:t>
            </w:r>
          </w:p>
        </w:tc>
        <w:tc>
          <w:tcPr>
            <w:tcW w:w="4452" w:type="dxa"/>
            <w:shd w:val="clear" w:color="auto" w:fill="auto"/>
            <w:vAlign w:val="center"/>
          </w:tcPr>
          <w:p w14:paraId="462F2FA7" w14:textId="5A130867" w:rsidR="00497621" w:rsidRPr="00895FCB" w:rsidRDefault="00497621" w:rsidP="00497621">
            <w:pPr>
              <w:spacing w:after="0"/>
              <w:jc w:val="left"/>
              <w:rPr>
                <w:sz w:val="22"/>
                <w:szCs w:val="22"/>
              </w:rPr>
            </w:pPr>
            <w:r w:rsidRPr="00895FCB">
              <w:rPr>
                <w:sz w:val="22"/>
                <w:szCs w:val="22"/>
              </w:rPr>
              <w:t>Viis fookusgruppi, mille raames</w:t>
            </w:r>
            <w:r w:rsidR="003D31D6" w:rsidRPr="00895FCB">
              <w:rPr>
                <w:sz w:val="22"/>
                <w:szCs w:val="22"/>
              </w:rPr>
              <w:t xml:space="preserve"> käsitleti vastava valdkonna/sihtrühma väljakutseid, eelmise strateegiaperioodi kogemusi, nägemus tulevikuks ning meetmete sisu:</w:t>
            </w:r>
          </w:p>
          <w:p w14:paraId="053A9BC4" w14:textId="3F16E3F1" w:rsidR="00497621" w:rsidRPr="00895FCB" w:rsidRDefault="00497621" w:rsidP="00497621">
            <w:pPr>
              <w:numPr>
                <w:ilvl w:val="1"/>
                <w:numId w:val="17"/>
              </w:numPr>
              <w:spacing w:after="0"/>
              <w:jc w:val="left"/>
              <w:rPr>
                <w:sz w:val="22"/>
                <w:szCs w:val="22"/>
              </w:rPr>
            </w:pPr>
            <w:r w:rsidRPr="00895FCB">
              <w:rPr>
                <w:sz w:val="22"/>
                <w:szCs w:val="22"/>
              </w:rPr>
              <w:t>Ettevõtjad (20.09.2022) – 1</w:t>
            </w:r>
            <w:r w:rsidR="00F55927" w:rsidRPr="00895FCB">
              <w:rPr>
                <w:sz w:val="22"/>
                <w:szCs w:val="22"/>
              </w:rPr>
              <w:t xml:space="preserve">3 </w:t>
            </w:r>
            <w:r w:rsidRPr="00895FCB">
              <w:rPr>
                <w:sz w:val="22"/>
                <w:szCs w:val="22"/>
              </w:rPr>
              <w:t>osalejat</w:t>
            </w:r>
          </w:p>
          <w:p w14:paraId="3476602E" w14:textId="0BEDE634" w:rsidR="00497621" w:rsidRPr="00895FCB" w:rsidRDefault="00497621" w:rsidP="00497621">
            <w:pPr>
              <w:numPr>
                <w:ilvl w:val="1"/>
                <w:numId w:val="17"/>
              </w:numPr>
              <w:spacing w:after="0"/>
              <w:jc w:val="left"/>
              <w:rPr>
                <w:sz w:val="22"/>
                <w:szCs w:val="22"/>
              </w:rPr>
            </w:pPr>
            <w:r w:rsidRPr="00895FCB">
              <w:rPr>
                <w:sz w:val="22"/>
                <w:szCs w:val="22"/>
              </w:rPr>
              <w:t xml:space="preserve">Turism (20.09.2022)  – </w:t>
            </w:r>
            <w:r w:rsidR="00F55927" w:rsidRPr="00895FCB">
              <w:rPr>
                <w:sz w:val="22"/>
                <w:szCs w:val="22"/>
              </w:rPr>
              <w:t>9</w:t>
            </w:r>
            <w:r w:rsidRPr="00895FCB">
              <w:rPr>
                <w:sz w:val="22"/>
                <w:szCs w:val="22"/>
              </w:rPr>
              <w:t xml:space="preserve"> osalejat</w:t>
            </w:r>
          </w:p>
          <w:p w14:paraId="3C54A478" w14:textId="407CCC98" w:rsidR="00497621" w:rsidRPr="00895FCB" w:rsidRDefault="00497621" w:rsidP="00497621">
            <w:pPr>
              <w:numPr>
                <w:ilvl w:val="1"/>
                <w:numId w:val="17"/>
              </w:numPr>
              <w:spacing w:after="0"/>
              <w:jc w:val="left"/>
              <w:rPr>
                <w:sz w:val="22"/>
                <w:szCs w:val="22"/>
              </w:rPr>
            </w:pPr>
            <w:r w:rsidRPr="00895FCB">
              <w:rPr>
                <w:sz w:val="22"/>
                <w:szCs w:val="22"/>
              </w:rPr>
              <w:t>KOVid (21.09.2022) – 10 osalejat</w:t>
            </w:r>
          </w:p>
          <w:p w14:paraId="16366EAE" w14:textId="6FC1D36E" w:rsidR="00497621" w:rsidRPr="00895FCB" w:rsidRDefault="00497621" w:rsidP="00497621">
            <w:pPr>
              <w:numPr>
                <w:ilvl w:val="1"/>
                <w:numId w:val="17"/>
              </w:numPr>
              <w:spacing w:after="0"/>
              <w:jc w:val="left"/>
              <w:rPr>
                <w:sz w:val="22"/>
                <w:szCs w:val="22"/>
              </w:rPr>
            </w:pPr>
            <w:r w:rsidRPr="00895FCB">
              <w:rPr>
                <w:sz w:val="22"/>
                <w:szCs w:val="22"/>
              </w:rPr>
              <w:t xml:space="preserve">Elukeskkond&amp;kogukonnad (21.09.2022)  – </w:t>
            </w:r>
            <w:r w:rsidR="00F55927" w:rsidRPr="00895FCB">
              <w:rPr>
                <w:sz w:val="22"/>
                <w:szCs w:val="22"/>
              </w:rPr>
              <w:t>18</w:t>
            </w:r>
            <w:r w:rsidRPr="00895FCB">
              <w:rPr>
                <w:sz w:val="22"/>
                <w:szCs w:val="22"/>
              </w:rPr>
              <w:t xml:space="preserve"> osalejat</w:t>
            </w:r>
          </w:p>
          <w:p w14:paraId="0A0C8C5B" w14:textId="19435E0F" w:rsidR="00497621" w:rsidRPr="00895FCB" w:rsidRDefault="003D31D6" w:rsidP="00DB2C5A">
            <w:pPr>
              <w:numPr>
                <w:ilvl w:val="1"/>
                <w:numId w:val="17"/>
              </w:numPr>
              <w:spacing w:after="0"/>
              <w:jc w:val="left"/>
              <w:rPr>
                <w:sz w:val="22"/>
                <w:szCs w:val="22"/>
              </w:rPr>
            </w:pPr>
            <w:r w:rsidRPr="00895FCB">
              <w:rPr>
                <w:sz w:val="22"/>
                <w:szCs w:val="22"/>
              </w:rPr>
              <w:t>Sotsiaalvaldkond (</w:t>
            </w:r>
            <w:r w:rsidR="00497621" w:rsidRPr="00895FCB">
              <w:rPr>
                <w:sz w:val="22"/>
                <w:szCs w:val="22"/>
              </w:rPr>
              <w:t>ESF meede</w:t>
            </w:r>
            <w:r w:rsidRPr="00895FCB">
              <w:rPr>
                <w:sz w:val="22"/>
                <w:szCs w:val="22"/>
              </w:rPr>
              <w:t xml:space="preserve">) </w:t>
            </w:r>
            <w:r w:rsidR="00497621" w:rsidRPr="00895FCB">
              <w:rPr>
                <w:sz w:val="22"/>
                <w:szCs w:val="22"/>
              </w:rPr>
              <w:t>(29.11.2022) – 1</w:t>
            </w:r>
            <w:r w:rsidR="00F55927" w:rsidRPr="00895FCB">
              <w:rPr>
                <w:sz w:val="22"/>
                <w:szCs w:val="22"/>
              </w:rPr>
              <w:t>1</w:t>
            </w:r>
            <w:r w:rsidR="00497621" w:rsidRPr="00895FCB">
              <w:rPr>
                <w:sz w:val="22"/>
                <w:szCs w:val="22"/>
              </w:rPr>
              <w:t xml:space="preserve"> osalejat</w:t>
            </w:r>
          </w:p>
        </w:tc>
        <w:tc>
          <w:tcPr>
            <w:tcW w:w="1614" w:type="dxa"/>
            <w:shd w:val="clear" w:color="auto" w:fill="auto"/>
            <w:vAlign w:val="center"/>
          </w:tcPr>
          <w:p w14:paraId="1E7137EE" w14:textId="6ABE24C1" w:rsidR="00497621" w:rsidRPr="00895FCB" w:rsidRDefault="003D31D6" w:rsidP="00901FFB">
            <w:pPr>
              <w:spacing w:after="0"/>
              <w:jc w:val="left"/>
              <w:rPr>
                <w:sz w:val="22"/>
                <w:szCs w:val="22"/>
              </w:rPr>
            </w:pPr>
            <w:r w:rsidRPr="00895FCB">
              <w:rPr>
                <w:sz w:val="22"/>
                <w:szCs w:val="22"/>
              </w:rPr>
              <w:t>Kokku osales fookus-gruppides 6</w:t>
            </w:r>
            <w:r w:rsidR="00F55927" w:rsidRPr="00895FCB">
              <w:rPr>
                <w:sz w:val="22"/>
                <w:szCs w:val="22"/>
              </w:rPr>
              <w:t xml:space="preserve">1 </w:t>
            </w:r>
            <w:r w:rsidRPr="00895FCB">
              <w:rPr>
                <w:sz w:val="22"/>
                <w:szCs w:val="22"/>
              </w:rPr>
              <w:t>inimest</w:t>
            </w:r>
          </w:p>
        </w:tc>
      </w:tr>
      <w:tr w:rsidR="00895FCB" w:rsidRPr="00895FCB" w14:paraId="2D56BE36" w14:textId="77777777" w:rsidTr="003D31D6">
        <w:tc>
          <w:tcPr>
            <w:tcW w:w="1345" w:type="dxa"/>
            <w:shd w:val="clear" w:color="auto" w:fill="auto"/>
            <w:vAlign w:val="center"/>
          </w:tcPr>
          <w:p w14:paraId="23B0C426" w14:textId="19D4DD52" w:rsidR="0006714F" w:rsidRPr="00895FCB" w:rsidRDefault="003D31D6" w:rsidP="008B3DBC">
            <w:pPr>
              <w:spacing w:after="0"/>
              <w:jc w:val="left"/>
              <w:rPr>
                <w:sz w:val="22"/>
                <w:szCs w:val="22"/>
              </w:rPr>
            </w:pPr>
            <w:r w:rsidRPr="00895FCB">
              <w:rPr>
                <w:sz w:val="22"/>
                <w:szCs w:val="22"/>
              </w:rPr>
              <w:t>Oktoober- detsember 2022</w:t>
            </w:r>
          </w:p>
        </w:tc>
        <w:tc>
          <w:tcPr>
            <w:tcW w:w="1774" w:type="dxa"/>
            <w:shd w:val="clear" w:color="auto" w:fill="auto"/>
            <w:vAlign w:val="center"/>
          </w:tcPr>
          <w:p w14:paraId="4F61B275" w14:textId="5FD17FDB" w:rsidR="0006714F" w:rsidRPr="00895FCB" w:rsidRDefault="003D31D6" w:rsidP="008B3DBC">
            <w:pPr>
              <w:spacing w:after="0"/>
              <w:jc w:val="left"/>
              <w:rPr>
                <w:sz w:val="22"/>
                <w:szCs w:val="22"/>
              </w:rPr>
            </w:pPr>
            <w:r w:rsidRPr="00895FCB">
              <w:rPr>
                <w:sz w:val="22"/>
                <w:szCs w:val="22"/>
              </w:rPr>
              <w:t>Juhtrühma arutelud</w:t>
            </w:r>
          </w:p>
        </w:tc>
        <w:tc>
          <w:tcPr>
            <w:tcW w:w="4452" w:type="dxa"/>
            <w:shd w:val="clear" w:color="auto" w:fill="auto"/>
            <w:vAlign w:val="center"/>
          </w:tcPr>
          <w:p w14:paraId="1B8C10E5" w14:textId="1FD914DF" w:rsidR="003D31D6" w:rsidRPr="00895FCB" w:rsidRDefault="003D31D6" w:rsidP="003D31D6">
            <w:pPr>
              <w:numPr>
                <w:ilvl w:val="1"/>
                <w:numId w:val="19"/>
              </w:numPr>
              <w:spacing w:after="0"/>
              <w:jc w:val="left"/>
              <w:rPr>
                <w:sz w:val="22"/>
                <w:szCs w:val="22"/>
              </w:rPr>
            </w:pPr>
            <w:r w:rsidRPr="00895FCB">
              <w:rPr>
                <w:sz w:val="22"/>
                <w:szCs w:val="22"/>
              </w:rPr>
              <w:t xml:space="preserve">Ülevaade analüütilisest osas ja strateegia raamistiku määratlemine, sh SWOT, </w:t>
            </w:r>
            <w:r w:rsidRPr="00895FCB">
              <w:rPr>
                <w:sz w:val="22"/>
                <w:szCs w:val="22"/>
              </w:rPr>
              <w:lastRenderedPageBreak/>
              <w:t>strateegia fookused, visioon, eesmärgid ja meetmed (17.10.2022) – 10 osalejat</w:t>
            </w:r>
          </w:p>
          <w:p w14:paraId="6770D5F0" w14:textId="6D65E902" w:rsidR="003D31D6" w:rsidRPr="00895FCB" w:rsidRDefault="003D31D6" w:rsidP="003D31D6">
            <w:pPr>
              <w:numPr>
                <w:ilvl w:val="1"/>
                <w:numId w:val="19"/>
              </w:numPr>
              <w:spacing w:after="0"/>
              <w:jc w:val="left"/>
              <w:rPr>
                <w:sz w:val="22"/>
                <w:szCs w:val="22"/>
              </w:rPr>
            </w:pPr>
            <w:r w:rsidRPr="00895FCB">
              <w:rPr>
                <w:sz w:val="22"/>
                <w:szCs w:val="22"/>
              </w:rPr>
              <w:t>Meetmete disainimine (14.11.2022) – 10 osalejat</w:t>
            </w:r>
          </w:p>
          <w:p w14:paraId="7208055F" w14:textId="2FB1D87E" w:rsidR="00F55927" w:rsidRPr="00895FCB" w:rsidRDefault="003D31D6" w:rsidP="008260F0">
            <w:pPr>
              <w:numPr>
                <w:ilvl w:val="1"/>
                <w:numId w:val="19"/>
              </w:numPr>
              <w:spacing w:after="0"/>
              <w:jc w:val="left"/>
              <w:rPr>
                <w:sz w:val="22"/>
                <w:szCs w:val="22"/>
              </w:rPr>
            </w:pPr>
            <w:r w:rsidRPr="00895FCB">
              <w:rPr>
                <w:sz w:val="22"/>
                <w:szCs w:val="22"/>
              </w:rPr>
              <w:t>Meetmelehtede ja hindamiskriteeriumite arutelud (19.12.2022) – 10 osalejat</w:t>
            </w:r>
          </w:p>
        </w:tc>
        <w:tc>
          <w:tcPr>
            <w:tcW w:w="1614" w:type="dxa"/>
            <w:shd w:val="clear" w:color="auto" w:fill="auto"/>
            <w:vAlign w:val="center"/>
          </w:tcPr>
          <w:p w14:paraId="38C309AB" w14:textId="7286E6A3" w:rsidR="0006714F" w:rsidRPr="00895FCB" w:rsidRDefault="003D31D6" w:rsidP="008B3DBC">
            <w:pPr>
              <w:spacing w:after="0"/>
              <w:jc w:val="left"/>
              <w:rPr>
                <w:sz w:val="22"/>
                <w:szCs w:val="22"/>
              </w:rPr>
            </w:pPr>
            <w:r w:rsidRPr="00895FCB">
              <w:rPr>
                <w:sz w:val="22"/>
                <w:szCs w:val="22"/>
              </w:rPr>
              <w:lastRenderedPageBreak/>
              <w:t xml:space="preserve">Strateegia juhtrühma töös osales </w:t>
            </w:r>
            <w:r w:rsidRPr="00895FCB">
              <w:rPr>
                <w:sz w:val="22"/>
                <w:szCs w:val="22"/>
              </w:rPr>
              <w:lastRenderedPageBreak/>
              <w:t>aktiivselt 10 juhtrühma liiget</w:t>
            </w:r>
          </w:p>
        </w:tc>
      </w:tr>
      <w:tr w:rsidR="00895FCB" w:rsidRPr="00895FCB" w14:paraId="49D1DADF" w14:textId="77777777" w:rsidTr="003D31D6">
        <w:tc>
          <w:tcPr>
            <w:tcW w:w="1345" w:type="dxa"/>
            <w:shd w:val="clear" w:color="auto" w:fill="auto"/>
            <w:vAlign w:val="center"/>
          </w:tcPr>
          <w:p w14:paraId="4EA6130F" w14:textId="47BBC79D" w:rsidR="007D6E05" w:rsidRPr="00895FCB" w:rsidRDefault="007D6E05" w:rsidP="008B3DBC">
            <w:pPr>
              <w:spacing w:after="0"/>
              <w:jc w:val="left"/>
              <w:rPr>
                <w:sz w:val="22"/>
                <w:szCs w:val="22"/>
              </w:rPr>
            </w:pPr>
            <w:r w:rsidRPr="00895FCB">
              <w:rPr>
                <w:sz w:val="22"/>
                <w:szCs w:val="22"/>
              </w:rPr>
              <w:lastRenderedPageBreak/>
              <w:t>24. oktoober 2022</w:t>
            </w:r>
          </w:p>
        </w:tc>
        <w:tc>
          <w:tcPr>
            <w:tcW w:w="1774" w:type="dxa"/>
            <w:shd w:val="clear" w:color="auto" w:fill="auto"/>
            <w:vAlign w:val="center"/>
          </w:tcPr>
          <w:p w14:paraId="54361139" w14:textId="5150817B" w:rsidR="007D6E05" w:rsidRPr="00895FCB" w:rsidRDefault="007D6E05" w:rsidP="008B3DBC">
            <w:pPr>
              <w:spacing w:after="0"/>
              <w:jc w:val="left"/>
              <w:rPr>
                <w:sz w:val="22"/>
                <w:szCs w:val="22"/>
              </w:rPr>
            </w:pPr>
            <w:r w:rsidRPr="00895FCB">
              <w:rPr>
                <w:sz w:val="22"/>
                <w:szCs w:val="22"/>
              </w:rPr>
              <w:t>Üldkoosolek</w:t>
            </w:r>
          </w:p>
        </w:tc>
        <w:tc>
          <w:tcPr>
            <w:tcW w:w="4452" w:type="dxa"/>
            <w:shd w:val="clear" w:color="auto" w:fill="auto"/>
            <w:vAlign w:val="center"/>
          </w:tcPr>
          <w:p w14:paraId="393F8B54" w14:textId="01E7784E" w:rsidR="007D6E05" w:rsidRPr="00895FCB" w:rsidRDefault="007D6E05" w:rsidP="003D31D6">
            <w:pPr>
              <w:numPr>
                <w:ilvl w:val="1"/>
                <w:numId w:val="19"/>
              </w:numPr>
              <w:spacing w:after="0"/>
              <w:jc w:val="left"/>
              <w:rPr>
                <w:sz w:val="22"/>
                <w:szCs w:val="22"/>
              </w:rPr>
            </w:pPr>
            <w:r w:rsidRPr="00895FCB">
              <w:rPr>
                <w:sz w:val="22"/>
                <w:szCs w:val="22"/>
              </w:rPr>
              <w:t>Strateegia esialgse raamistiku tutvustamine üldkoosolekul</w:t>
            </w:r>
          </w:p>
        </w:tc>
        <w:tc>
          <w:tcPr>
            <w:tcW w:w="1614" w:type="dxa"/>
            <w:shd w:val="clear" w:color="auto" w:fill="auto"/>
            <w:vAlign w:val="center"/>
          </w:tcPr>
          <w:p w14:paraId="55D0E444" w14:textId="71F1F572" w:rsidR="007D6E05" w:rsidRPr="00895FCB" w:rsidRDefault="00F55927" w:rsidP="008B3DBC">
            <w:pPr>
              <w:spacing w:after="0"/>
              <w:jc w:val="left"/>
              <w:rPr>
                <w:sz w:val="22"/>
                <w:szCs w:val="22"/>
              </w:rPr>
            </w:pPr>
            <w:r w:rsidRPr="00895FCB">
              <w:rPr>
                <w:sz w:val="22"/>
                <w:szCs w:val="22"/>
              </w:rPr>
              <w:t>19</w:t>
            </w:r>
          </w:p>
        </w:tc>
      </w:tr>
      <w:tr w:rsidR="00895FCB" w:rsidRPr="00895FCB" w14:paraId="434C6152" w14:textId="77777777" w:rsidTr="00901FFB">
        <w:tc>
          <w:tcPr>
            <w:tcW w:w="1345" w:type="dxa"/>
            <w:shd w:val="clear" w:color="auto" w:fill="auto"/>
            <w:vAlign w:val="center"/>
          </w:tcPr>
          <w:p w14:paraId="301094B8" w14:textId="77777777" w:rsidR="003D31D6" w:rsidRPr="00895FCB" w:rsidRDefault="003D31D6" w:rsidP="00901FFB">
            <w:pPr>
              <w:spacing w:after="0"/>
              <w:jc w:val="left"/>
              <w:rPr>
                <w:sz w:val="22"/>
                <w:szCs w:val="22"/>
              </w:rPr>
            </w:pPr>
            <w:r w:rsidRPr="00895FCB">
              <w:rPr>
                <w:sz w:val="22"/>
                <w:szCs w:val="22"/>
              </w:rPr>
              <w:t>Detsember 2022- jaanuar 2023</w:t>
            </w:r>
          </w:p>
        </w:tc>
        <w:tc>
          <w:tcPr>
            <w:tcW w:w="1774" w:type="dxa"/>
            <w:shd w:val="clear" w:color="auto" w:fill="auto"/>
            <w:vAlign w:val="center"/>
          </w:tcPr>
          <w:p w14:paraId="072628AB" w14:textId="643E7216" w:rsidR="003D31D6" w:rsidRPr="00895FCB" w:rsidRDefault="003D31D6" w:rsidP="00901FFB">
            <w:pPr>
              <w:spacing w:after="0"/>
              <w:jc w:val="left"/>
              <w:rPr>
                <w:sz w:val="22"/>
                <w:szCs w:val="22"/>
              </w:rPr>
            </w:pPr>
            <w:r w:rsidRPr="00895FCB">
              <w:rPr>
                <w:sz w:val="22"/>
                <w:szCs w:val="22"/>
              </w:rPr>
              <w:t>Arengu-strateegia tööversiooni koostamine ja täpsustamine</w:t>
            </w:r>
          </w:p>
        </w:tc>
        <w:tc>
          <w:tcPr>
            <w:tcW w:w="4452" w:type="dxa"/>
            <w:shd w:val="clear" w:color="auto" w:fill="auto"/>
            <w:vAlign w:val="center"/>
          </w:tcPr>
          <w:p w14:paraId="5DF2E915" w14:textId="799A0A7C" w:rsidR="003D31D6" w:rsidRPr="00895FCB" w:rsidRDefault="003D31D6" w:rsidP="00901FFB">
            <w:pPr>
              <w:spacing w:after="0"/>
              <w:jc w:val="left"/>
              <w:rPr>
                <w:sz w:val="22"/>
                <w:szCs w:val="22"/>
              </w:rPr>
            </w:pPr>
            <w:r w:rsidRPr="00895FCB">
              <w:rPr>
                <w:sz w:val="22"/>
                <w:szCs w:val="22"/>
              </w:rPr>
              <w:t>Koostati arengustrateegia tööversioon, mis saadeti tagasiside saamiseks strateegia töörühmale. Tagasisidest lähtuvalt tehti tööversiooni täpsustusi.</w:t>
            </w:r>
          </w:p>
        </w:tc>
        <w:tc>
          <w:tcPr>
            <w:tcW w:w="1614" w:type="dxa"/>
            <w:shd w:val="clear" w:color="auto" w:fill="auto"/>
            <w:vAlign w:val="center"/>
          </w:tcPr>
          <w:p w14:paraId="4AE4B6FA" w14:textId="77777777" w:rsidR="003D31D6" w:rsidRPr="00895FCB" w:rsidRDefault="003D31D6" w:rsidP="00901FFB">
            <w:pPr>
              <w:spacing w:after="0"/>
              <w:jc w:val="left"/>
              <w:rPr>
                <w:sz w:val="22"/>
                <w:szCs w:val="22"/>
              </w:rPr>
            </w:pPr>
            <w:r w:rsidRPr="00895FCB">
              <w:rPr>
                <w:sz w:val="22"/>
                <w:szCs w:val="22"/>
              </w:rPr>
              <w:t>-</w:t>
            </w:r>
          </w:p>
        </w:tc>
      </w:tr>
      <w:tr w:rsidR="00895FCB" w:rsidRPr="00895FCB" w14:paraId="6CB2EB2F" w14:textId="77777777" w:rsidTr="00901FFB">
        <w:tc>
          <w:tcPr>
            <w:tcW w:w="1345" w:type="dxa"/>
            <w:shd w:val="clear" w:color="auto" w:fill="auto"/>
            <w:vAlign w:val="center"/>
          </w:tcPr>
          <w:p w14:paraId="59610A64" w14:textId="77777777" w:rsidR="003D31D6" w:rsidRPr="00895FCB" w:rsidRDefault="003D31D6" w:rsidP="00901FFB">
            <w:pPr>
              <w:spacing w:after="0"/>
              <w:jc w:val="left"/>
              <w:rPr>
                <w:sz w:val="22"/>
                <w:szCs w:val="22"/>
              </w:rPr>
            </w:pPr>
            <w:r w:rsidRPr="00895FCB">
              <w:rPr>
                <w:sz w:val="22"/>
                <w:szCs w:val="22"/>
              </w:rPr>
              <w:t>25. jaanuar 2023</w:t>
            </w:r>
          </w:p>
        </w:tc>
        <w:tc>
          <w:tcPr>
            <w:tcW w:w="1774" w:type="dxa"/>
            <w:shd w:val="clear" w:color="auto" w:fill="auto"/>
            <w:vAlign w:val="center"/>
          </w:tcPr>
          <w:p w14:paraId="7AD89550" w14:textId="635BDFC1" w:rsidR="003D31D6" w:rsidRPr="00895FCB" w:rsidRDefault="003D31D6" w:rsidP="00901FFB">
            <w:pPr>
              <w:spacing w:after="0"/>
              <w:jc w:val="left"/>
              <w:rPr>
                <w:sz w:val="22"/>
                <w:szCs w:val="22"/>
              </w:rPr>
            </w:pPr>
            <w:r w:rsidRPr="00895FCB">
              <w:rPr>
                <w:sz w:val="22"/>
                <w:szCs w:val="22"/>
              </w:rPr>
              <w:t>Avatud strateegia-seminar kõigile huvilistele</w:t>
            </w:r>
          </w:p>
        </w:tc>
        <w:tc>
          <w:tcPr>
            <w:tcW w:w="4452" w:type="dxa"/>
            <w:shd w:val="clear" w:color="auto" w:fill="auto"/>
            <w:vAlign w:val="center"/>
          </w:tcPr>
          <w:p w14:paraId="61E508FC" w14:textId="2331344F" w:rsidR="003D31D6" w:rsidRPr="00895FCB" w:rsidRDefault="003D31D6" w:rsidP="00901FFB">
            <w:pPr>
              <w:spacing w:after="0"/>
              <w:jc w:val="left"/>
              <w:rPr>
                <w:sz w:val="22"/>
                <w:szCs w:val="22"/>
              </w:rPr>
            </w:pPr>
            <w:r w:rsidRPr="00895FCB">
              <w:rPr>
                <w:sz w:val="22"/>
                <w:szCs w:val="22"/>
              </w:rPr>
              <w:t>Strateegia tutvustus ja arutelud; tagasiside visioonile ja eesmärkidele ning meetmetele, täpsustuste tegemine</w:t>
            </w:r>
          </w:p>
        </w:tc>
        <w:tc>
          <w:tcPr>
            <w:tcW w:w="1614" w:type="dxa"/>
            <w:shd w:val="clear" w:color="auto" w:fill="auto"/>
            <w:vAlign w:val="center"/>
          </w:tcPr>
          <w:p w14:paraId="2A968D2E" w14:textId="3B741E15" w:rsidR="003D31D6" w:rsidRPr="00895FCB" w:rsidRDefault="005F64A3" w:rsidP="00901FFB">
            <w:pPr>
              <w:spacing w:after="0"/>
              <w:jc w:val="left"/>
              <w:rPr>
                <w:sz w:val="22"/>
                <w:szCs w:val="22"/>
              </w:rPr>
            </w:pPr>
            <w:r w:rsidRPr="00895FCB">
              <w:rPr>
                <w:sz w:val="22"/>
                <w:szCs w:val="22"/>
              </w:rPr>
              <w:t>20</w:t>
            </w:r>
          </w:p>
        </w:tc>
      </w:tr>
      <w:tr w:rsidR="00895FCB" w:rsidRPr="00895FCB" w14:paraId="2F7E07C8" w14:textId="77777777" w:rsidTr="00901FFB">
        <w:tc>
          <w:tcPr>
            <w:tcW w:w="1345" w:type="dxa"/>
            <w:shd w:val="clear" w:color="auto" w:fill="auto"/>
            <w:vAlign w:val="center"/>
          </w:tcPr>
          <w:p w14:paraId="1344A015" w14:textId="17082265" w:rsidR="003D31D6" w:rsidRPr="00895FCB" w:rsidRDefault="002E703A" w:rsidP="00901FFB">
            <w:pPr>
              <w:spacing w:after="0"/>
              <w:jc w:val="left"/>
              <w:rPr>
                <w:sz w:val="22"/>
                <w:szCs w:val="22"/>
              </w:rPr>
            </w:pPr>
            <w:r w:rsidRPr="00895FCB">
              <w:rPr>
                <w:sz w:val="22"/>
                <w:szCs w:val="22"/>
              </w:rPr>
              <w:t>Jaanuar-veebruar 2023</w:t>
            </w:r>
          </w:p>
        </w:tc>
        <w:tc>
          <w:tcPr>
            <w:tcW w:w="1774" w:type="dxa"/>
            <w:shd w:val="clear" w:color="auto" w:fill="auto"/>
            <w:vAlign w:val="center"/>
          </w:tcPr>
          <w:p w14:paraId="4ABDEFBD" w14:textId="0EC26A6C" w:rsidR="003D31D6" w:rsidRPr="00895FCB" w:rsidRDefault="002E703A" w:rsidP="00901FFB">
            <w:pPr>
              <w:spacing w:after="0"/>
              <w:jc w:val="left"/>
              <w:rPr>
                <w:sz w:val="22"/>
                <w:szCs w:val="22"/>
              </w:rPr>
            </w:pPr>
            <w:r w:rsidRPr="00895FCB">
              <w:rPr>
                <w:sz w:val="22"/>
                <w:szCs w:val="22"/>
              </w:rPr>
              <w:t>A</w:t>
            </w:r>
            <w:r w:rsidR="003D31D6" w:rsidRPr="00895FCB">
              <w:rPr>
                <w:sz w:val="22"/>
                <w:szCs w:val="22"/>
              </w:rPr>
              <w:t>rutelud hindamis-kriteeriumite täpsustamiseks</w:t>
            </w:r>
          </w:p>
        </w:tc>
        <w:tc>
          <w:tcPr>
            <w:tcW w:w="4452" w:type="dxa"/>
            <w:shd w:val="clear" w:color="auto" w:fill="auto"/>
            <w:vAlign w:val="center"/>
          </w:tcPr>
          <w:p w14:paraId="5BD09D36" w14:textId="33B81CB7" w:rsidR="003D31D6" w:rsidRPr="00895FCB" w:rsidRDefault="002E703A" w:rsidP="002E703A">
            <w:pPr>
              <w:pStyle w:val="ListParagraph"/>
              <w:numPr>
                <w:ilvl w:val="1"/>
                <w:numId w:val="19"/>
              </w:numPr>
              <w:spacing w:after="0"/>
              <w:jc w:val="left"/>
              <w:rPr>
                <w:sz w:val="22"/>
                <w:szCs w:val="22"/>
              </w:rPr>
            </w:pPr>
            <w:r w:rsidRPr="00895FCB">
              <w:rPr>
                <w:sz w:val="22"/>
                <w:szCs w:val="22"/>
              </w:rPr>
              <w:t>Ettevõtlusmeetme hindamiskriteeriumide arutelu (17.01.2023) – 10 osalejat</w:t>
            </w:r>
          </w:p>
          <w:p w14:paraId="73A302A5" w14:textId="24EB6C21" w:rsidR="002E703A" w:rsidRPr="00895FCB" w:rsidRDefault="002E703A" w:rsidP="002E703A">
            <w:pPr>
              <w:pStyle w:val="ListParagraph"/>
              <w:numPr>
                <w:ilvl w:val="1"/>
                <w:numId w:val="19"/>
              </w:numPr>
              <w:spacing w:after="0"/>
              <w:jc w:val="left"/>
              <w:rPr>
                <w:sz w:val="22"/>
                <w:szCs w:val="22"/>
              </w:rPr>
            </w:pPr>
            <w:r w:rsidRPr="00895FCB">
              <w:rPr>
                <w:sz w:val="22"/>
                <w:szCs w:val="22"/>
              </w:rPr>
              <w:t>Elukeskkonna ja kogukondade meetme hindamiskriteeriumide arutelu (</w:t>
            </w:r>
            <w:r w:rsidR="008260F0" w:rsidRPr="00895FCB">
              <w:rPr>
                <w:sz w:val="22"/>
                <w:szCs w:val="22"/>
              </w:rPr>
              <w:t>17.02.2023</w:t>
            </w:r>
            <w:r w:rsidRPr="00895FCB">
              <w:rPr>
                <w:sz w:val="22"/>
                <w:szCs w:val="22"/>
              </w:rPr>
              <w:t xml:space="preserve">) – </w:t>
            </w:r>
            <w:r w:rsidR="008260F0" w:rsidRPr="00895FCB">
              <w:rPr>
                <w:sz w:val="22"/>
                <w:szCs w:val="22"/>
              </w:rPr>
              <w:t>7</w:t>
            </w:r>
            <w:r w:rsidRPr="00895FCB">
              <w:rPr>
                <w:sz w:val="22"/>
                <w:szCs w:val="22"/>
              </w:rPr>
              <w:t xml:space="preserve"> osalejat</w:t>
            </w:r>
          </w:p>
        </w:tc>
        <w:tc>
          <w:tcPr>
            <w:tcW w:w="1614" w:type="dxa"/>
            <w:shd w:val="clear" w:color="auto" w:fill="auto"/>
            <w:vAlign w:val="center"/>
          </w:tcPr>
          <w:p w14:paraId="4FA95DBD" w14:textId="6304DF6B" w:rsidR="003D31D6" w:rsidRPr="00895FCB" w:rsidRDefault="008260F0" w:rsidP="00901FFB">
            <w:pPr>
              <w:spacing w:after="0"/>
              <w:jc w:val="left"/>
              <w:rPr>
                <w:sz w:val="22"/>
                <w:szCs w:val="22"/>
              </w:rPr>
            </w:pPr>
            <w:r w:rsidRPr="00895FCB">
              <w:rPr>
                <w:sz w:val="22"/>
                <w:szCs w:val="22"/>
              </w:rPr>
              <w:t>17</w:t>
            </w:r>
          </w:p>
        </w:tc>
      </w:tr>
      <w:tr w:rsidR="00895FCB" w:rsidRPr="00895FCB" w14:paraId="66661371" w14:textId="77777777" w:rsidTr="003D31D6">
        <w:tc>
          <w:tcPr>
            <w:tcW w:w="1345" w:type="dxa"/>
            <w:shd w:val="clear" w:color="auto" w:fill="auto"/>
            <w:vAlign w:val="center"/>
          </w:tcPr>
          <w:p w14:paraId="73CBF654" w14:textId="58B4FD9E" w:rsidR="00C74AEF" w:rsidRPr="00895FCB" w:rsidRDefault="002E703A" w:rsidP="00C74AEF">
            <w:pPr>
              <w:spacing w:after="0"/>
              <w:jc w:val="left"/>
              <w:rPr>
                <w:sz w:val="22"/>
                <w:szCs w:val="22"/>
              </w:rPr>
            </w:pPr>
            <w:r w:rsidRPr="00895FCB">
              <w:rPr>
                <w:sz w:val="22"/>
                <w:szCs w:val="22"/>
              </w:rPr>
              <w:t>Aprill 2023</w:t>
            </w:r>
          </w:p>
        </w:tc>
        <w:tc>
          <w:tcPr>
            <w:tcW w:w="1774" w:type="dxa"/>
            <w:shd w:val="clear" w:color="auto" w:fill="auto"/>
            <w:vAlign w:val="center"/>
          </w:tcPr>
          <w:p w14:paraId="72B5F71D" w14:textId="2F474A4C" w:rsidR="00C74AEF" w:rsidRPr="00895FCB" w:rsidRDefault="00411440" w:rsidP="00C74AEF">
            <w:pPr>
              <w:spacing w:after="0"/>
              <w:jc w:val="left"/>
              <w:rPr>
                <w:sz w:val="22"/>
                <w:szCs w:val="22"/>
              </w:rPr>
            </w:pPr>
            <w:r w:rsidRPr="00895FCB">
              <w:rPr>
                <w:sz w:val="22"/>
                <w:szCs w:val="22"/>
              </w:rPr>
              <w:t>Eelnõu koostamine</w:t>
            </w:r>
          </w:p>
        </w:tc>
        <w:tc>
          <w:tcPr>
            <w:tcW w:w="4452" w:type="dxa"/>
            <w:shd w:val="clear" w:color="auto" w:fill="auto"/>
            <w:vAlign w:val="center"/>
          </w:tcPr>
          <w:p w14:paraId="49D60474" w14:textId="5E4CB4CB" w:rsidR="00C74AEF" w:rsidRPr="00895FCB" w:rsidRDefault="002E703A" w:rsidP="00C74AEF">
            <w:pPr>
              <w:spacing w:after="0"/>
              <w:jc w:val="left"/>
              <w:rPr>
                <w:sz w:val="22"/>
                <w:szCs w:val="22"/>
              </w:rPr>
            </w:pPr>
            <w:r w:rsidRPr="00895FCB">
              <w:rPr>
                <w:sz w:val="22"/>
                <w:szCs w:val="22"/>
              </w:rPr>
              <w:t>Strateegia ja lisade täiendamine lähtuvalt LEADER-määruse eelnõust</w:t>
            </w:r>
          </w:p>
        </w:tc>
        <w:tc>
          <w:tcPr>
            <w:tcW w:w="1614" w:type="dxa"/>
            <w:shd w:val="clear" w:color="auto" w:fill="auto"/>
            <w:vAlign w:val="center"/>
          </w:tcPr>
          <w:p w14:paraId="3275A5CA" w14:textId="3FC0C682" w:rsidR="00C74AEF" w:rsidRPr="00895FCB" w:rsidRDefault="002E703A" w:rsidP="00C74AEF">
            <w:pPr>
              <w:spacing w:after="0"/>
              <w:jc w:val="left"/>
              <w:rPr>
                <w:sz w:val="22"/>
                <w:szCs w:val="22"/>
              </w:rPr>
            </w:pPr>
            <w:r w:rsidRPr="00895FCB">
              <w:rPr>
                <w:sz w:val="22"/>
                <w:szCs w:val="22"/>
              </w:rPr>
              <w:t>-</w:t>
            </w:r>
          </w:p>
        </w:tc>
      </w:tr>
      <w:tr w:rsidR="00895FCB" w:rsidRPr="00895FCB" w14:paraId="2802393B" w14:textId="77777777" w:rsidTr="003D31D6">
        <w:tc>
          <w:tcPr>
            <w:tcW w:w="1345" w:type="dxa"/>
            <w:shd w:val="clear" w:color="auto" w:fill="auto"/>
            <w:vAlign w:val="center"/>
          </w:tcPr>
          <w:p w14:paraId="68683FF2" w14:textId="2EBED3FB" w:rsidR="00411440" w:rsidRPr="00895FCB" w:rsidRDefault="00411440" w:rsidP="00C74AEF">
            <w:pPr>
              <w:spacing w:after="0"/>
              <w:jc w:val="left"/>
              <w:rPr>
                <w:sz w:val="22"/>
                <w:szCs w:val="22"/>
              </w:rPr>
            </w:pPr>
            <w:r w:rsidRPr="00895FCB">
              <w:rPr>
                <w:sz w:val="22"/>
                <w:szCs w:val="22"/>
              </w:rPr>
              <w:t>24. aprill 2023</w:t>
            </w:r>
          </w:p>
        </w:tc>
        <w:tc>
          <w:tcPr>
            <w:tcW w:w="1774" w:type="dxa"/>
            <w:shd w:val="clear" w:color="auto" w:fill="auto"/>
            <w:vAlign w:val="center"/>
          </w:tcPr>
          <w:p w14:paraId="026A283F" w14:textId="068B364A" w:rsidR="00411440" w:rsidRPr="00895FCB" w:rsidRDefault="00411440" w:rsidP="00C74AEF">
            <w:pPr>
              <w:spacing w:after="0"/>
              <w:jc w:val="left"/>
              <w:rPr>
                <w:sz w:val="22"/>
                <w:szCs w:val="22"/>
              </w:rPr>
            </w:pPr>
            <w:r w:rsidRPr="00895FCB">
              <w:rPr>
                <w:sz w:val="22"/>
                <w:szCs w:val="22"/>
              </w:rPr>
              <w:t>Juhtrühma arutelu</w:t>
            </w:r>
          </w:p>
        </w:tc>
        <w:tc>
          <w:tcPr>
            <w:tcW w:w="4452" w:type="dxa"/>
            <w:shd w:val="clear" w:color="auto" w:fill="auto"/>
            <w:vAlign w:val="center"/>
          </w:tcPr>
          <w:p w14:paraId="3D9699A2" w14:textId="7A7FAF13" w:rsidR="00411440" w:rsidRPr="00895FCB" w:rsidRDefault="00411440" w:rsidP="00C74AEF">
            <w:pPr>
              <w:spacing w:after="0"/>
              <w:jc w:val="left"/>
              <w:rPr>
                <w:sz w:val="22"/>
                <w:szCs w:val="22"/>
              </w:rPr>
            </w:pPr>
            <w:r w:rsidRPr="00895FCB">
              <w:rPr>
                <w:sz w:val="22"/>
                <w:szCs w:val="22"/>
              </w:rPr>
              <w:t>Juhtrühma arutelu strateegia eelnõu täiendamiseks</w:t>
            </w:r>
          </w:p>
        </w:tc>
        <w:tc>
          <w:tcPr>
            <w:tcW w:w="1614" w:type="dxa"/>
            <w:shd w:val="clear" w:color="auto" w:fill="auto"/>
            <w:vAlign w:val="center"/>
          </w:tcPr>
          <w:p w14:paraId="55909DCA" w14:textId="4D315CEB" w:rsidR="00411440" w:rsidRPr="00895FCB" w:rsidRDefault="00411440" w:rsidP="00C74AEF">
            <w:pPr>
              <w:spacing w:after="0"/>
              <w:jc w:val="left"/>
              <w:rPr>
                <w:sz w:val="22"/>
                <w:szCs w:val="22"/>
              </w:rPr>
            </w:pPr>
            <w:r w:rsidRPr="00895FCB">
              <w:rPr>
                <w:sz w:val="22"/>
                <w:szCs w:val="22"/>
              </w:rPr>
              <w:t>10</w:t>
            </w:r>
          </w:p>
        </w:tc>
      </w:tr>
      <w:tr w:rsidR="00895FCB" w:rsidRPr="00895FCB" w14:paraId="5FF65E29" w14:textId="77777777" w:rsidTr="003D31D6">
        <w:tc>
          <w:tcPr>
            <w:tcW w:w="1345" w:type="dxa"/>
            <w:shd w:val="clear" w:color="auto" w:fill="auto"/>
            <w:vAlign w:val="center"/>
          </w:tcPr>
          <w:p w14:paraId="5286F9F1" w14:textId="6E821219" w:rsidR="00497621" w:rsidRPr="00895FCB" w:rsidRDefault="00246A30" w:rsidP="00901FFB">
            <w:pPr>
              <w:spacing w:after="0"/>
              <w:jc w:val="left"/>
              <w:rPr>
                <w:sz w:val="22"/>
                <w:szCs w:val="22"/>
              </w:rPr>
            </w:pPr>
            <w:r w:rsidRPr="00895FCB">
              <w:rPr>
                <w:sz w:val="22"/>
                <w:szCs w:val="22"/>
              </w:rPr>
              <w:t>5</w:t>
            </w:r>
            <w:r w:rsidR="008260F0" w:rsidRPr="00895FCB">
              <w:rPr>
                <w:sz w:val="22"/>
                <w:szCs w:val="22"/>
              </w:rPr>
              <w:t>.mai2023</w:t>
            </w:r>
          </w:p>
        </w:tc>
        <w:tc>
          <w:tcPr>
            <w:tcW w:w="1774" w:type="dxa"/>
            <w:shd w:val="clear" w:color="auto" w:fill="auto"/>
            <w:vAlign w:val="center"/>
          </w:tcPr>
          <w:p w14:paraId="1F2F85B8" w14:textId="77777777" w:rsidR="00497621" w:rsidRPr="00895FCB" w:rsidRDefault="00497621" w:rsidP="00901FFB">
            <w:pPr>
              <w:spacing w:after="0"/>
              <w:jc w:val="left"/>
              <w:rPr>
                <w:sz w:val="22"/>
                <w:szCs w:val="22"/>
              </w:rPr>
            </w:pPr>
            <w:r w:rsidRPr="00895FCB">
              <w:rPr>
                <w:sz w:val="22"/>
                <w:szCs w:val="22"/>
              </w:rPr>
              <w:t>Strateegia avalikustamine</w:t>
            </w:r>
          </w:p>
        </w:tc>
        <w:tc>
          <w:tcPr>
            <w:tcW w:w="4452" w:type="dxa"/>
            <w:shd w:val="clear" w:color="auto" w:fill="auto"/>
            <w:vAlign w:val="center"/>
          </w:tcPr>
          <w:p w14:paraId="7D299E49" w14:textId="33347804" w:rsidR="00497621" w:rsidRPr="00895FCB" w:rsidRDefault="00497621" w:rsidP="00901FFB">
            <w:pPr>
              <w:spacing w:after="0"/>
              <w:jc w:val="left"/>
              <w:rPr>
                <w:sz w:val="22"/>
                <w:szCs w:val="22"/>
              </w:rPr>
            </w:pPr>
            <w:r w:rsidRPr="00895FCB">
              <w:rPr>
                <w:sz w:val="22"/>
                <w:szCs w:val="22"/>
              </w:rPr>
              <w:t>Arengustrateegia lõppversiooni avalikustamine</w:t>
            </w:r>
          </w:p>
        </w:tc>
        <w:tc>
          <w:tcPr>
            <w:tcW w:w="1614" w:type="dxa"/>
            <w:shd w:val="clear" w:color="auto" w:fill="auto"/>
            <w:vAlign w:val="center"/>
          </w:tcPr>
          <w:p w14:paraId="40AA4A6F" w14:textId="77777777" w:rsidR="00497621" w:rsidRPr="00895FCB" w:rsidRDefault="00497621" w:rsidP="00901FFB">
            <w:pPr>
              <w:spacing w:after="0"/>
              <w:jc w:val="left"/>
              <w:rPr>
                <w:sz w:val="22"/>
                <w:szCs w:val="22"/>
              </w:rPr>
            </w:pPr>
            <w:r w:rsidRPr="00895FCB">
              <w:rPr>
                <w:sz w:val="22"/>
                <w:szCs w:val="22"/>
              </w:rPr>
              <w:t>-</w:t>
            </w:r>
          </w:p>
        </w:tc>
      </w:tr>
      <w:tr w:rsidR="00895FCB" w:rsidRPr="00895FCB" w14:paraId="077230C4" w14:textId="77777777" w:rsidTr="003D31D6">
        <w:tc>
          <w:tcPr>
            <w:tcW w:w="1345" w:type="dxa"/>
            <w:shd w:val="clear" w:color="auto" w:fill="auto"/>
            <w:vAlign w:val="center"/>
          </w:tcPr>
          <w:p w14:paraId="72ECD201" w14:textId="4AE7AD12" w:rsidR="00C74AEF" w:rsidRPr="00895FCB" w:rsidRDefault="008260F0" w:rsidP="00C74AEF">
            <w:pPr>
              <w:spacing w:after="0"/>
              <w:jc w:val="left"/>
              <w:rPr>
                <w:sz w:val="22"/>
                <w:szCs w:val="22"/>
              </w:rPr>
            </w:pPr>
            <w:r w:rsidRPr="00895FCB">
              <w:rPr>
                <w:sz w:val="22"/>
                <w:szCs w:val="22"/>
              </w:rPr>
              <w:t>29</w:t>
            </w:r>
            <w:r w:rsidR="00C74AEF" w:rsidRPr="00895FCB">
              <w:rPr>
                <w:sz w:val="22"/>
                <w:szCs w:val="22"/>
              </w:rPr>
              <w:t xml:space="preserve">. </w:t>
            </w:r>
            <w:r w:rsidR="00497621" w:rsidRPr="00895FCB">
              <w:rPr>
                <w:sz w:val="22"/>
                <w:szCs w:val="22"/>
              </w:rPr>
              <w:t>mai</w:t>
            </w:r>
            <w:r w:rsidR="00C74AEF" w:rsidRPr="00895FCB">
              <w:rPr>
                <w:sz w:val="22"/>
                <w:szCs w:val="22"/>
              </w:rPr>
              <w:t xml:space="preserve"> 2023</w:t>
            </w:r>
          </w:p>
        </w:tc>
        <w:tc>
          <w:tcPr>
            <w:tcW w:w="1774" w:type="dxa"/>
            <w:shd w:val="clear" w:color="auto" w:fill="auto"/>
            <w:vAlign w:val="center"/>
          </w:tcPr>
          <w:p w14:paraId="0241567F" w14:textId="0DCFAAB1" w:rsidR="00C74AEF" w:rsidRPr="00895FCB" w:rsidRDefault="00C74AEF" w:rsidP="00C74AEF">
            <w:pPr>
              <w:spacing w:after="0"/>
              <w:jc w:val="left"/>
              <w:rPr>
                <w:sz w:val="22"/>
                <w:szCs w:val="22"/>
              </w:rPr>
            </w:pPr>
            <w:r w:rsidRPr="00895FCB">
              <w:rPr>
                <w:sz w:val="22"/>
                <w:szCs w:val="22"/>
              </w:rPr>
              <w:t>Üldkoosolek</w:t>
            </w:r>
          </w:p>
        </w:tc>
        <w:tc>
          <w:tcPr>
            <w:tcW w:w="4452" w:type="dxa"/>
            <w:shd w:val="clear" w:color="auto" w:fill="auto"/>
            <w:vAlign w:val="center"/>
          </w:tcPr>
          <w:p w14:paraId="1F9FE96E" w14:textId="43AE5BD2" w:rsidR="00C74AEF" w:rsidRPr="00895FCB" w:rsidRDefault="00C74AEF" w:rsidP="00C74AEF">
            <w:pPr>
              <w:spacing w:after="0"/>
              <w:jc w:val="left"/>
              <w:rPr>
                <w:bCs/>
                <w:sz w:val="22"/>
                <w:szCs w:val="22"/>
              </w:rPr>
            </w:pPr>
            <w:r w:rsidRPr="00895FCB">
              <w:rPr>
                <w:bCs/>
                <w:sz w:val="22"/>
                <w:szCs w:val="22"/>
              </w:rPr>
              <w:t>Strateegia heakskiitmine üldkoosolekul.</w:t>
            </w:r>
          </w:p>
        </w:tc>
        <w:tc>
          <w:tcPr>
            <w:tcW w:w="1614" w:type="dxa"/>
            <w:shd w:val="clear" w:color="auto" w:fill="auto"/>
            <w:vAlign w:val="center"/>
          </w:tcPr>
          <w:p w14:paraId="54CAE9A5" w14:textId="0EFCC231" w:rsidR="00C74AEF" w:rsidRPr="00895FCB" w:rsidRDefault="00C74AEF" w:rsidP="00C74AEF">
            <w:pPr>
              <w:spacing w:after="0"/>
              <w:jc w:val="left"/>
              <w:rPr>
                <w:sz w:val="22"/>
                <w:szCs w:val="22"/>
              </w:rPr>
            </w:pPr>
            <w:r w:rsidRPr="00895FCB">
              <w:rPr>
                <w:sz w:val="22"/>
                <w:szCs w:val="22"/>
              </w:rPr>
              <w:t>-</w:t>
            </w:r>
          </w:p>
        </w:tc>
      </w:tr>
    </w:tbl>
    <w:p w14:paraId="352BADB5" w14:textId="06EA03BE" w:rsidR="0006714F" w:rsidRPr="00895FCB" w:rsidRDefault="0006714F" w:rsidP="008B3DBC">
      <w:pPr>
        <w:spacing w:after="0"/>
      </w:pPr>
    </w:p>
    <w:p w14:paraId="79A47D1B" w14:textId="6B9538B6" w:rsidR="00C77A49" w:rsidRPr="00895FCB" w:rsidRDefault="00C77A49" w:rsidP="00C77A49">
      <w:pPr>
        <w:spacing w:after="0"/>
      </w:pPr>
    </w:p>
    <w:p w14:paraId="7518F73D" w14:textId="77777777" w:rsidR="00C77A49" w:rsidRPr="00895FCB" w:rsidRDefault="00C77A49" w:rsidP="00C77A49">
      <w:pPr>
        <w:spacing w:after="0"/>
      </w:pPr>
    </w:p>
    <w:p w14:paraId="3A4B77B3" w14:textId="1FABB4CA" w:rsidR="00C77A49" w:rsidRPr="00895FCB" w:rsidRDefault="00C77A49" w:rsidP="00C77A49">
      <w:pPr>
        <w:spacing w:after="0"/>
      </w:pPr>
      <w:r w:rsidRPr="00895FCB">
        <w:t>Sotsiaalvaldkonna arutelule kutsuti</w:t>
      </w:r>
      <w:r w:rsidR="002F43F4" w:rsidRPr="00895FCB">
        <w:t xml:space="preserve"> </w:t>
      </w:r>
      <w:r w:rsidR="004F7A8C" w:rsidRPr="00895FCB">
        <w:t xml:space="preserve">kohalike </w:t>
      </w:r>
      <w:r w:rsidR="002F43F4" w:rsidRPr="00895FCB">
        <w:t xml:space="preserve">omavalitsuste sotsiaalvaldkonna töötajad, </w:t>
      </w:r>
      <w:r w:rsidR="004F7A8C" w:rsidRPr="00895FCB">
        <w:t xml:space="preserve">piirkonnas tegutsevate </w:t>
      </w:r>
      <w:r w:rsidR="002F43F4" w:rsidRPr="00895FCB">
        <w:t>hooldekodude</w:t>
      </w:r>
      <w:r w:rsidR="00A00C81" w:rsidRPr="00895FCB">
        <w:t>,</w:t>
      </w:r>
      <w:r w:rsidR="002F43F4" w:rsidRPr="00895FCB">
        <w:t xml:space="preserve"> päevakeskuste </w:t>
      </w:r>
      <w:r w:rsidR="00A00C81" w:rsidRPr="00895FCB">
        <w:t xml:space="preserve">ja sotsiaalkeskuste </w:t>
      </w:r>
      <w:r w:rsidR="002F43F4" w:rsidRPr="00895FCB">
        <w:t xml:space="preserve">esindajad, puuetega inimeste vabaühenduste esindajad </w:t>
      </w:r>
      <w:r w:rsidR="00A00C81" w:rsidRPr="00895FCB">
        <w:t>ja</w:t>
      </w:r>
      <w:r w:rsidR="002F43F4" w:rsidRPr="00895FCB">
        <w:t xml:space="preserve"> perearstid.</w:t>
      </w:r>
      <w:r w:rsidR="00A00C81" w:rsidRPr="00895FCB">
        <w:t xml:space="preserve"> Perearstid ja puuetega koja esindajad arutelul ei osalenud. </w:t>
      </w:r>
    </w:p>
    <w:p w14:paraId="133BD0C5" w14:textId="434A5C10" w:rsidR="00C77A49" w:rsidRPr="00895FCB" w:rsidRDefault="00C77A49" w:rsidP="00C77A49">
      <w:pPr>
        <w:spacing w:after="0"/>
      </w:pPr>
      <w:r w:rsidRPr="00895FCB">
        <w:t>P</w:t>
      </w:r>
      <w:r w:rsidR="00105EA5" w:rsidRPr="00895FCB">
        <w:t>ä</w:t>
      </w:r>
      <w:r w:rsidRPr="00895FCB">
        <w:t>rast fookusgruppide arutelude läbiviimist otsustasime moodustade strateegia juhtrühma, kuhu kutsusime osalema järgmised inimesed:</w:t>
      </w:r>
    </w:p>
    <w:p w14:paraId="0CD3DECD" w14:textId="7653EC3B" w:rsidR="00C77A49" w:rsidRPr="00895FCB" w:rsidRDefault="00C77A49" w:rsidP="00C77A49">
      <w:pPr>
        <w:pStyle w:val="ListParagraph"/>
        <w:numPr>
          <w:ilvl w:val="0"/>
          <w:numId w:val="20"/>
        </w:numPr>
        <w:spacing w:after="0"/>
      </w:pPr>
      <w:r w:rsidRPr="00895FCB">
        <w:t xml:space="preserve">Merle Pussak on IHKK juhatuse esimees. Ta on </w:t>
      </w:r>
      <w:r w:rsidR="002F43F4" w:rsidRPr="00895FCB">
        <w:t>IHKK juhatuse liige olnud tegevusrühma loomisest peale. Merle</w:t>
      </w:r>
      <w:r w:rsidRPr="00895FCB">
        <w:t xml:space="preserve"> on pikaajaline Kose vallavanem</w:t>
      </w:r>
      <w:r w:rsidR="002F43F4" w:rsidRPr="00895FCB">
        <w:t xml:space="preserve">, täna Kose vallavolikogu esimees. Merle on </w:t>
      </w:r>
      <w:r w:rsidR="004F7A8C" w:rsidRPr="00895FCB">
        <w:t xml:space="preserve">kohaliku </w:t>
      </w:r>
      <w:r w:rsidR="002F43F4" w:rsidRPr="00895FCB">
        <w:t>omavalitsuse ekspert.</w:t>
      </w:r>
      <w:r w:rsidRPr="00895FCB">
        <w:t xml:space="preserve"> </w:t>
      </w:r>
    </w:p>
    <w:p w14:paraId="0C4BAF8B" w14:textId="650AB5AA" w:rsidR="00C77A49" w:rsidRPr="00895FCB" w:rsidRDefault="00C77A49" w:rsidP="00C77A49">
      <w:pPr>
        <w:pStyle w:val="ListParagraph"/>
        <w:numPr>
          <w:ilvl w:val="0"/>
          <w:numId w:val="20"/>
        </w:numPr>
        <w:spacing w:after="0"/>
      </w:pPr>
      <w:r w:rsidRPr="00895FCB">
        <w:t>Marge Raja on IHKK juhatuse liige</w:t>
      </w:r>
      <w:r w:rsidR="002F43F4" w:rsidRPr="00895FCB">
        <w:t xml:space="preserve"> olnud tegevusrühma loomisest peale,</w:t>
      </w:r>
      <w:r w:rsidR="00105EA5" w:rsidRPr="00895FCB">
        <w:t xml:space="preserve"> ta töötab</w:t>
      </w:r>
      <w:r w:rsidRPr="00895FCB">
        <w:t xml:space="preserve"> Anija valla abivallavane</w:t>
      </w:r>
      <w:r w:rsidR="00105EA5" w:rsidRPr="00895FCB">
        <w:t>mana</w:t>
      </w:r>
      <w:r w:rsidRPr="00895FCB">
        <w:t xml:space="preserve"> ja</w:t>
      </w:r>
      <w:r w:rsidR="00105EA5" w:rsidRPr="00895FCB">
        <w:t xml:space="preserve"> on</w:t>
      </w:r>
      <w:r w:rsidRPr="00895FCB">
        <w:t xml:space="preserve"> pikaajaline sotsiaalosakonna juhataja. </w:t>
      </w:r>
      <w:r w:rsidR="00A00C81" w:rsidRPr="00895FCB">
        <w:t>Marge on e</w:t>
      </w:r>
      <w:r w:rsidRPr="00895FCB">
        <w:t xml:space="preserve">kspert </w:t>
      </w:r>
      <w:r w:rsidR="004F7A8C" w:rsidRPr="00895FCB">
        <w:t xml:space="preserve">kohaliku </w:t>
      </w:r>
      <w:r w:rsidRPr="00895FCB">
        <w:t>omavalitsuse</w:t>
      </w:r>
      <w:r w:rsidR="00105EA5" w:rsidRPr="00895FCB">
        <w:t>-</w:t>
      </w:r>
      <w:r w:rsidRPr="00895FCB">
        <w:t xml:space="preserve"> ja sotsiaalvaldkonnas.</w:t>
      </w:r>
    </w:p>
    <w:p w14:paraId="0B21E96A" w14:textId="1FBA0CD2" w:rsidR="00105EA5" w:rsidRPr="00895FCB" w:rsidRDefault="00105EA5" w:rsidP="00C77A49">
      <w:pPr>
        <w:pStyle w:val="ListParagraph"/>
        <w:numPr>
          <w:ilvl w:val="0"/>
          <w:numId w:val="20"/>
        </w:numPr>
        <w:spacing w:after="0"/>
      </w:pPr>
      <w:r w:rsidRPr="00895FCB">
        <w:t>Õnnela Metsaorg on IHKK juhatuse liige ja töötab Raasiku koolis sotsiaalpedagoogina. Lisaks on ta MTÜ Perekeskus Männikäbi ja Rätla külaseltsi esindaja. Õnnela on ekspert vabaühenduste projektides ja sotsiaalvaldkonnas.</w:t>
      </w:r>
    </w:p>
    <w:p w14:paraId="0A4DDB51" w14:textId="7A528D83" w:rsidR="00C77A49" w:rsidRPr="00895FCB" w:rsidRDefault="00C77A49" w:rsidP="00C77A49">
      <w:pPr>
        <w:pStyle w:val="ListParagraph"/>
        <w:numPr>
          <w:ilvl w:val="0"/>
          <w:numId w:val="20"/>
        </w:numPr>
        <w:spacing w:after="0"/>
      </w:pPr>
      <w:r w:rsidRPr="00895FCB">
        <w:lastRenderedPageBreak/>
        <w:t>Demis Voss, praegune Kose Vallavanem</w:t>
      </w:r>
      <w:r w:rsidR="00A00C81" w:rsidRPr="00895FCB">
        <w:t xml:space="preserve"> on varem juhtinud Harju Ettevõtlus ja Arenduskeskust. Demis on</w:t>
      </w:r>
      <w:r w:rsidRPr="00895FCB">
        <w:t xml:space="preserve"> varem olnud ka LEADER meetmete hindaja, </w:t>
      </w:r>
      <w:r w:rsidR="00A00C81" w:rsidRPr="00895FCB">
        <w:t xml:space="preserve">ta </w:t>
      </w:r>
      <w:r w:rsidRPr="00895FCB">
        <w:t>omab varasemast suurt kogemust nii LEADER- kui ka muude projektidega. Ta</w:t>
      </w:r>
      <w:r w:rsidR="00A00C81" w:rsidRPr="00895FCB">
        <w:t>l</w:t>
      </w:r>
      <w:r w:rsidRPr="00895FCB">
        <w:t xml:space="preserve"> on kogemus nii </w:t>
      </w:r>
      <w:r w:rsidR="00A65F5C" w:rsidRPr="00895FCB">
        <w:t xml:space="preserve">kohaliku </w:t>
      </w:r>
      <w:r w:rsidRPr="00895FCB">
        <w:t xml:space="preserve">omavalitsuse, ettevõtluse, kui ka vabaühenduste projektidega.   </w:t>
      </w:r>
    </w:p>
    <w:p w14:paraId="6FBA2397" w14:textId="420994E9" w:rsidR="00105EA5" w:rsidRPr="00895FCB" w:rsidRDefault="00105EA5" w:rsidP="00C77A49">
      <w:pPr>
        <w:pStyle w:val="ListParagraph"/>
        <w:numPr>
          <w:ilvl w:val="0"/>
          <w:numId w:val="20"/>
        </w:numPr>
        <w:spacing w:after="0"/>
      </w:pPr>
      <w:r w:rsidRPr="00895FCB">
        <w:t xml:space="preserve">Maarja Sikut on Raasiku valla vallavolikogu esimees, MTÜ Raasiku Jalgpalliklubi FC Joker esindaja ja Noma Grupp OÜ esindaja. Maarja on kirjutanud ja ellu viinud projekte kõigis meetmetes. </w:t>
      </w:r>
    </w:p>
    <w:p w14:paraId="692A1C6D" w14:textId="3CA78DB1" w:rsidR="00105EA5" w:rsidRPr="00895FCB" w:rsidRDefault="00105EA5" w:rsidP="00C77A49">
      <w:pPr>
        <w:pStyle w:val="ListParagraph"/>
        <w:numPr>
          <w:ilvl w:val="0"/>
          <w:numId w:val="20"/>
        </w:numPr>
        <w:spacing w:after="0"/>
      </w:pPr>
      <w:r w:rsidRPr="00895FCB">
        <w:t>Erkki Karjamaa on MTÜ Viskla Külaarendamise Selts ja OÜ Knolle esindaja. Erkki on ellu viinud projekte  ettevõtlus- ja vabaühenduste meetmetes.</w:t>
      </w:r>
    </w:p>
    <w:p w14:paraId="00769260" w14:textId="5D38CA6E" w:rsidR="00105EA5" w:rsidRPr="00895FCB" w:rsidRDefault="00105EA5" w:rsidP="00C77A49">
      <w:pPr>
        <w:pStyle w:val="ListParagraph"/>
        <w:numPr>
          <w:ilvl w:val="0"/>
          <w:numId w:val="20"/>
        </w:numPr>
        <w:spacing w:after="0"/>
      </w:pPr>
      <w:r w:rsidRPr="00895FCB">
        <w:t>Margus Proos on OÜ Puitmast esindaja. Margus on olnud pikalt projektide hindaja ettevõtlusmeetmes</w:t>
      </w:r>
      <w:r w:rsidR="00A00C81" w:rsidRPr="00895FCB">
        <w:t>ja ka ise edukalt LEADER projekte ellu viinud</w:t>
      </w:r>
      <w:r w:rsidRPr="00895FCB">
        <w:t>.</w:t>
      </w:r>
    </w:p>
    <w:p w14:paraId="0437A383" w14:textId="0C292826" w:rsidR="00105EA5" w:rsidRPr="00895FCB" w:rsidRDefault="00105EA5" w:rsidP="00C77A49">
      <w:pPr>
        <w:pStyle w:val="ListParagraph"/>
        <w:numPr>
          <w:ilvl w:val="0"/>
          <w:numId w:val="20"/>
        </w:numPr>
        <w:spacing w:after="0"/>
      </w:pPr>
      <w:r w:rsidRPr="00895FCB">
        <w:t xml:space="preserve">Mihkel Laan on Cumulus Consulting esindaja. Mihkel juhtis juhtrühma arutelusid ja </w:t>
      </w:r>
      <w:r w:rsidR="002F43F4" w:rsidRPr="00895FCB">
        <w:t>oli strateegia põhiline koostaja.</w:t>
      </w:r>
    </w:p>
    <w:p w14:paraId="580A22E9" w14:textId="58943631" w:rsidR="00105EA5" w:rsidRPr="00895FCB" w:rsidRDefault="00105EA5" w:rsidP="00101004">
      <w:pPr>
        <w:pStyle w:val="ListParagraph"/>
        <w:numPr>
          <w:ilvl w:val="0"/>
          <w:numId w:val="20"/>
        </w:numPr>
        <w:spacing w:after="0"/>
      </w:pPr>
      <w:r w:rsidRPr="00895FCB">
        <w:t xml:space="preserve">Anneli Põldra </w:t>
      </w:r>
      <w:r w:rsidR="002F43F4" w:rsidRPr="00895FCB">
        <w:t>on IHKK tegevmeeskonnas ja töötab projektikoordinaatorina, tema on läbi viinud taotlusvoorusid ja omab eelkõige tegevusrühma vaadet.</w:t>
      </w:r>
    </w:p>
    <w:p w14:paraId="683D7A11" w14:textId="157A9454" w:rsidR="00895FCB" w:rsidRPr="00895FCB" w:rsidRDefault="002F43F4" w:rsidP="00895FCB">
      <w:pPr>
        <w:pStyle w:val="ListParagraph"/>
        <w:numPr>
          <w:ilvl w:val="0"/>
          <w:numId w:val="20"/>
        </w:numPr>
        <w:spacing w:after="0"/>
      </w:pPr>
      <w:r w:rsidRPr="00895FCB">
        <w:t>Sille Noor on IHKK tegevmeeskonnas ja töötab arendusjuhina.</w:t>
      </w:r>
      <w:r w:rsidR="00895FCB" w:rsidRPr="00895FCB">
        <w:t xml:space="preserve"> Ta on v</w:t>
      </w:r>
      <w:r w:rsidRPr="00895FCB">
        <w:t>arem ka ise kõigis meetmetes projekte kirjutanud ja ellu viinud, samuti olnud hindamiskomisjoni liige.</w:t>
      </w:r>
      <w:r w:rsidR="004F7A8C" w:rsidRPr="00895FCB">
        <w:t xml:space="preserve"> </w:t>
      </w:r>
      <w:r w:rsidR="00895FCB" w:rsidRPr="00895FCB">
        <w:t>Sille on varem töötanud erinevatel ametikohtadel finantsvaldkonnas nii erasektoris kui ka kohalikus omavalitsuses.</w:t>
      </w:r>
    </w:p>
    <w:p w14:paraId="5F670FFC" w14:textId="77777777" w:rsidR="00895FCB" w:rsidRPr="00895FCB" w:rsidRDefault="00895FCB" w:rsidP="00895FCB">
      <w:pPr>
        <w:spacing w:after="0"/>
      </w:pPr>
    </w:p>
    <w:p w14:paraId="33992704" w14:textId="77777777" w:rsidR="00895FCB" w:rsidRPr="00895FCB" w:rsidRDefault="00895FCB" w:rsidP="00895FCB">
      <w:pPr>
        <w:spacing w:after="0"/>
      </w:pPr>
      <w:r w:rsidRPr="00895FCB">
        <w:t xml:space="preserve">Lisaks väljatoodud tegevustele toimusid kogu strateegia koostamise perioodi vältel jooksvad arutelud IHKK tegevmeeskonna ja konsultandi vahel tegevuste kavandamiseks, vahekokkuvõtete tegemiseks jms. </w:t>
      </w:r>
    </w:p>
    <w:p w14:paraId="3C841EAA" w14:textId="77777777" w:rsidR="00895FCB" w:rsidRPr="00895FCB" w:rsidRDefault="00895FCB" w:rsidP="00895FCB">
      <w:pPr>
        <w:spacing w:after="0"/>
      </w:pPr>
    </w:p>
    <w:sectPr w:rsidR="00895FCB" w:rsidRPr="00895FC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0667" w14:textId="77777777" w:rsidR="00433E37" w:rsidRDefault="00433E37" w:rsidP="0006714F">
      <w:pPr>
        <w:spacing w:after="0"/>
      </w:pPr>
      <w:r>
        <w:separator/>
      </w:r>
    </w:p>
  </w:endnote>
  <w:endnote w:type="continuationSeparator" w:id="0">
    <w:p w14:paraId="55D6D9B7" w14:textId="77777777" w:rsidR="00433E37" w:rsidRDefault="00433E37" w:rsidP="000671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7148356"/>
      <w:docPartObj>
        <w:docPartGallery w:val="Page Numbers (Bottom of Page)"/>
        <w:docPartUnique/>
      </w:docPartObj>
    </w:sdtPr>
    <w:sdtContent>
      <w:p w14:paraId="76A190FD" w14:textId="654B7551" w:rsidR="006E78EB" w:rsidRDefault="006E78EB" w:rsidP="006973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F3E4E9" w14:textId="77777777" w:rsidR="006E78EB" w:rsidRDefault="006E78EB" w:rsidP="006E78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1652884"/>
      <w:docPartObj>
        <w:docPartGallery w:val="Page Numbers (Bottom of Page)"/>
        <w:docPartUnique/>
      </w:docPartObj>
    </w:sdtPr>
    <w:sdtContent>
      <w:p w14:paraId="2134DFD3" w14:textId="09453C9A" w:rsidR="006E78EB" w:rsidRDefault="006E78EB" w:rsidP="006973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A4BEB4" w14:textId="77777777" w:rsidR="006E78EB" w:rsidRDefault="006E78EB" w:rsidP="006E78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B642" w14:textId="77777777" w:rsidR="00433E37" w:rsidRDefault="00433E37" w:rsidP="0006714F">
      <w:pPr>
        <w:spacing w:after="0"/>
      </w:pPr>
      <w:r>
        <w:separator/>
      </w:r>
    </w:p>
  </w:footnote>
  <w:footnote w:type="continuationSeparator" w:id="0">
    <w:p w14:paraId="05135573" w14:textId="77777777" w:rsidR="00433E37" w:rsidRDefault="00433E37" w:rsidP="000671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FCF"/>
    <w:multiLevelType w:val="hybridMultilevel"/>
    <w:tmpl w:val="FB126E94"/>
    <w:lvl w:ilvl="0" w:tplc="04090011">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03450A21"/>
    <w:multiLevelType w:val="hybridMultilevel"/>
    <w:tmpl w:val="7CD8C7EA"/>
    <w:lvl w:ilvl="0" w:tplc="0CB4A8E2">
      <w:start w:val="1"/>
      <w:numFmt w:val="decimal"/>
      <w:lvlText w:val="%1."/>
      <w:lvlJc w:val="left"/>
      <w:pPr>
        <w:tabs>
          <w:tab w:val="num" w:pos="720"/>
        </w:tabs>
        <w:ind w:left="720" w:hanging="360"/>
      </w:pPr>
    </w:lvl>
    <w:lvl w:ilvl="1" w:tplc="565EA5DE" w:tentative="1">
      <w:start w:val="1"/>
      <w:numFmt w:val="decimal"/>
      <w:lvlText w:val="%2."/>
      <w:lvlJc w:val="left"/>
      <w:pPr>
        <w:tabs>
          <w:tab w:val="num" w:pos="1440"/>
        </w:tabs>
        <w:ind w:left="1440" w:hanging="360"/>
      </w:pPr>
    </w:lvl>
    <w:lvl w:ilvl="2" w:tplc="AB88F2B0" w:tentative="1">
      <w:start w:val="1"/>
      <w:numFmt w:val="decimal"/>
      <w:lvlText w:val="%3."/>
      <w:lvlJc w:val="left"/>
      <w:pPr>
        <w:tabs>
          <w:tab w:val="num" w:pos="2160"/>
        </w:tabs>
        <w:ind w:left="2160" w:hanging="360"/>
      </w:pPr>
    </w:lvl>
    <w:lvl w:ilvl="3" w:tplc="0E9851C6" w:tentative="1">
      <w:start w:val="1"/>
      <w:numFmt w:val="decimal"/>
      <w:lvlText w:val="%4."/>
      <w:lvlJc w:val="left"/>
      <w:pPr>
        <w:tabs>
          <w:tab w:val="num" w:pos="2880"/>
        </w:tabs>
        <w:ind w:left="2880" w:hanging="360"/>
      </w:pPr>
    </w:lvl>
    <w:lvl w:ilvl="4" w:tplc="699AB4BE" w:tentative="1">
      <w:start w:val="1"/>
      <w:numFmt w:val="decimal"/>
      <w:lvlText w:val="%5."/>
      <w:lvlJc w:val="left"/>
      <w:pPr>
        <w:tabs>
          <w:tab w:val="num" w:pos="3600"/>
        </w:tabs>
        <w:ind w:left="3600" w:hanging="360"/>
      </w:pPr>
    </w:lvl>
    <w:lvl w:ilvl="5" w:tplc="647073BC" w:tentative="1">
      <w:start w:val="1"/>
      <w:numFmt w:val="decimal"/>
      <w:lvlText w:val="%6."/>
      <w:lvlJc w:val="left"/>
      <w:pPr>
        <w:tabs>
          <w:tab w:val="num" w:pos="4320"/>
        </w:tabs>
        <w:ind w:left="4320" w:hanging="360"/>
      </w:pPr>
    </w:lvl>
    <w:lvl w:ilvl="6" w:tplc="56767594" w:tentative="1">
      <w:start w:val="1"/>
      <w:numFmt w:val="decimal"/>
      <w:lvlText w:val="%7."/>
      <w:lvlJc w:val="left"/>
      <w:pPr>
        <w:tabs>
          <w:tab w:val="num" w:pos="5040"/>
        </w:tabs>
        <w:ind w:left="5040" w:hanging="360"/>
      </w:pPr>
    </w:lvl>
    <w:lvl w:ilvl="7" w:tplc="253237C6" w:tentative="1">
      <w:start w:val="1"/>
      <w:numFmt w:val="decimal"/>
      <w:lvlText w:val="%8."/>
      <w:lvlJc w:val="left"/>
      <w:pPr>
        <w:tabs>
          <w:tab w:val="num" w:pos="5760"/>
        </w:tabs>
        <w:ind w:left="5760" w:hanging="360"/>
      </w:pPr>
    </w:lvl>
    <w:lvl w:ilvl="8" w:tplc="14BAA49E" w:tentative="1">
      <w:start w:val="1"/>
      <w:numFmt w:val="decimal"/>
      <w:lvlText w:val="%9."/>
      <w:lvlJc w:val="left"/>
      <w:pPr>
        <w:tabs>
          <w:tab w:val="num" w:pos="6480"/>
        </w:tabs>
        <w:ind w:left="6480" w:hanging="360"/>
      </w:pPr>
    </w:lvl>
  </w:abstractNum>
  <w:abstractNum w:abstractNumId="2" w15:restartNumberingAfterBreak="0">
    <w:nsid w:val="09D8468F"/>
    <w:multiLevelType w:val="hybridMultilevel"/>
    <w:tmpl w:val="505666E4"/>
    <w:lvl w:ilvl="0" w:tplc="CED682AA">
      <w:start w:val="1"/>
      <w:numFmt w:val="bullet"/>
      <w:lvlText w:val="•"/>
      <w:lvlJc w:val="left"/>
      <w:pPr>
        <w:tabs>
          <w:tab w:val="num" w:pos="720"/>
        </w:tabs>
        <w:ind w:left="720" w:hanging="360"/>
      </w:pPr>
      <w:rPr>
        <w:rFonts w:ascii="Arial" w:hAnsi="Arial" w:hint="default"/>
      </w:rPr>
    </w:lvl>
    <w:lvl w:ilvl="1" w:tplc="2F009C8E">
      <w:start w:val="1"/>
      <w:numFmt w:val="bullet"/>
      <w:lvlText w:val="•"/>
      <w:lvlJc w:val="left"/>
      <w:pPr>
        <w:tabs>
          <w:tab w:val="num" w:pos="360"/>
        </w:tabs>
        <w:ind w:left="360" w:hanging="360"/>
      </w:pPr>
      <w:rPr>
        <w:rFonts w:ascii="Arial" w:hAnsi="Arial" w:hint="default"/>
      </w:rPr>
    </w:lvl>
    <w:lvl w:ilvl="2" w:tplc="8D9052BE" w:tentative="1">
      <w:start w:val="1"/>
      <w:numFmt w:val="bullet"/>
      <w:lvlText w:val="•"/>
      <w:lvlJc w:val="left"/>
      <w:pPr>
        <w:tabs>
          <w:tab w:val="num" w:pos="2160"/>
        </w:tabs>
        <w:ind w:left="2160" w:hanging="360"/>
      </w:pPr>
      <w:rPr>
        <w:rFonts w:ascii="Arial" w:hAnsi="Arial" w:hint="default"/>
      </w:rPr>
    </w:lvl>
    <w:lvl w:ilvl="3" w:tplc="CBE82C02" w:tentative="1">
      <w:start w:val="1"/>
      <w:numFmt w:val="bullet"/>
      <w:lvlText w:val="•"/>
      <w:lvlJc w:val="left"/>
      <w:pPr>
        <w:tabs>
          <w:tab w:val="num" w:pos="2880"/>
        </w:tabs>
        <w:ind w:left="2880" w:hanging="360"/>
      </w:pPr>
      <w:rPr>
        <w:rFonts w:ascii="Arial" w:hAnsi="Arial" w:hint="default"/>
      </w:rPr>
    </w:lvl>
    <w:lvl w:ilvl="4" w:tplc="A62C762E" w:tentative="1">
      <w:start w:val="1"/>
      <w:numFmt w:val="bullet"/>
      <w:lvlText w:val="•"/>
      <w:lvlJc w:val="left"/>
      <w:pPr>
        <w:tabs>
          <w:tab w:val="num" w:pos="3600"/>
        </w:tabs>
        <w:ind w:left="3600" w:hanging="360"/>
      </w:pPr>
      <w:rPr>
        <w:rFonts w:ascii="Arial" w:hAnsi="Arial" w:hint="default"/>
      </w:rPr>
    </w:lvl>
    <w:lvl w:ilvl="5" w:tplc="6046E87C" w:tentative="1">
      <w:start w:val="1"/>
      <w:numFmt w:val="bullet"/>
      <w:lvlText w:val="•"/>
      <w:lvlJc w:val="left"/>
      <w:pPr>
        <w:tabs>
          <w:tab w:val="num" w:pos="4320"/>
        </w:tabs>
        <w:ind w:left="4320" w:hanging="360"/>
      </w:pPr>
      <w:rPr>
        <w:rFonts w:ascii="Arial" w:hAnsi="Arial" w:hint="default"/>
      </w:rPr>
    </w:lvl>
    <w:lvl w:ilvl="6" w:tplc="5D9E09AC" w:tentative="1">
      <w:start w:val="1"/>
      <w:numFmt w:val="bullet"/>
      <w:lvlText w:val="•"/>
      <w:lvlJc w:val="left"/>
      <w:pPr>
        <w:tabs>
          <w:tab w:val="num" w:pos="5040"/>
        </w:tabs>
        <w:ind w:left="5040" w:hanging="360"/>
      </w:pPr>
      <w:rPr>
        <w:rFonts w:ascii="Arial" w:hAnsi="Arial" w:hint="default"/>
      </w:rPr>
    </w:lvl>
    <w:lvl w:ilvl="7" w:tplc="77A2EBE0" w:tentative="1">
      <w:start w:val="1"/>
      <w:numFmt w:val="bullet"/>
      <w:lvlText w:val="•"/>
      <w:lvlJc w:val="left"/>
      <w:pPr>
        <w:tabs>
          <w:tab w:val="num" w:pos="5760"/>
        </w:tabs>
        <w:ind w:left="5760" w:hanging="360"/>
      </w:pPr>
      <w:rPr>
        <w:rFonts w:ascii="Arial" w:hAnsi="Arial" w:hint="default"/>
      </w:rPr>
    </w:lvl>
    <w:lvl w:ilvl="8" w:tplc="7D7C7C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833505"/>
    <w:multiLevelType w:val="hybridMultilevel"/>
    <w:tmpl w:val="4C0CD91C"/>
    <w:lvl w:ilvl="0" w:tplc="FFFFFFFF">
      <w:start w:val="1"/>
      <w:numFmt w:val="bullet"/>
      <w:lvlText w:val="•"/>
      <w:lvlJc w:val="left"/>
      <w:pPr>
        <w:tabs>
          <w:tab w:val="num" w:pos="720"/>
        </w:tabs>
        <w:ind w:left="720" w:hanging="360"/>
      </w:pPr>
      <w:rPr>
        <w:rFonts w:ascii="Arial" w:hAnsi="Arial" w:hint="default"/>
      </w:rPr>
    </w:lvl>
    <w:lvl w:ilvl="1" w:tplc="AC9A2AAA">
      <w:start w:val="1"/>
      <w:numFmt w:val="bullet"/>
      <w:lvlText w:val=""/>
      <w:lvlJc w:val="left"/>
      <w:pPr>
        <w:ind w:left="360" w:hanging="360"/>
      </w:pPr>
      <w:rPr>
        <w:rFonts w:ascii="Symbol" w:hAnsi="Symbol" w:hint="default"/>
        <w:color w:val="000000" w:themeColor="text1"/>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BE1E79"/>
    <w:multiLevelType w:val="hybridMultilevel"/>
    <w:tmpl w:val="639EFF1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9D47EE"/>
    <w:multiLevelType w:val="hybridMultilevel"/>
    <w:tmpl w:val="88A6ADDE"/>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BD6EC8"/>
    <w:multiLevelType w:val="hybridMultilevel"/>
    <w:tmpl w:val="6C1E4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83119"/>
    <w:multiLevelType w:val="hybridMultilevel"/>
    <w:tmpl w:val="90C44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4E7648"/>
    <w:multiLevelType w:val="hybridMultilevel"/>
    <w:tmpl w:val="926A97F4"/>
    <w:lvl w:ilvl="0" w:tplc="F5A211F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D43A5B"/>
    <w:multiLevelType w:val="hybridMultilevel"/>
    <w:tmpl w:val="E5A68E6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C32CEF"/>
    <w:multiLevelType w:val="hybridMultilevel"/>
    <w:tmpl w:val="3CB66F3C"/>
    <w:lvl w:ilvl="0" w:tplc="FFFFFFFF">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E24BD7"/>
    <w:multiLevelType w:val="hybridMultilevel"/>
    <w:tmpl w:val="F3C2E7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3DC41F1"/>
    <w:multiLevelType w:val="hybridMultilevel"/>
    <w:tmpl w:val="A4D290C0"/>
    <w:lvl w:ilvl="0" w:tplc="04090005">
      <w:start w:val="1"/>
      <w:numFmt w:val="bullet"/>
      <w:lvlText w:val=""/>
      <w:lvlJc w:val="left"/>
      <w:pPr>
        <w:ind w:left="927" w:hanging="360"/>
      </w:pPr>
      <w:rPr>
        <w:rFonts w:ascii="Wingdings" w:hAnsi="Wingding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F8169FD"/>
    <w:multiLevelType w:val="hybridMultilevel"/>
    <w:tmpl w:val="C18A5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1A6E75"/>
    <w:multiLevelType w:val="hybridMultilevel"/>
    <w:tmpl w:val="999C71B4"/>
    <w:lvl w:ilvl="0" w:tplc="616E0D94">
      <w:start w:val="1"/>
      <w:numFmt w:val="bullet"/>
      <w:lvlText w:val="•"/>
      <w:lvlJc w:val="left"/>
      <w:pPr>
        <w:tabs>
          <w:tab w:val="num" w:pos="720"/>
        </w:tabs>
        <w:ind w:left="720" w:hanging="360"/>
      </w:pPr>
      <w:rPr>
        <w:rFonts w:ascii="Arial" w:hAnsi="Arial" w:hint="default"/>
      </w:rPr>
    </w:lvl>
    <w:lvl w:ilvl="1" w:tplc="6D12C09C">
      <w:start w:val="1"/>
      <w:numFmt w:val="bullet"/>
      <w:lvlText w:val="•"/>
      <w:lvlJc w:val="left"/>
      <w:pPr>
        <w:tabs>
          <w:tab w:val="num" w:pos="644"/>
        </w:tabs>
        <w:ind w:left="644" w:hanging="360"/>
      </w:pPr>
      <w:rPr>
        <w:rFonts w:ascii="Arial" w:hAnsi="Arial" w:hint="default"/>
      </w:rPr>
    </w:lvl>
    <w:lvl w:ilvl="2" w:tplc="CA1AC9F8" w:tentative="1">
      <w:start w:val="1"/>
      <w:numFmt w:val="bullet"/>
      <w:lvlText w:val="•"/>
      <w:lvlJc w:val="left"/>
      <w:pPr>
        <w:tabs>
          <w:tab w:val="num" w:pos="2160"/>
        </w:tabs>
        <w:ind w:left="2160" w:hanging="360"/>
      </w:pPr>
      <w:rPr>
        <w:rFonts w:ascii="Arial" w:hAnsi="Arial" w:hint="default"/>
      </w:rPr>
    </w:lvl>
    <w:lvl w:ilvl="3" w:tplc="A86220BC" w:tentative="1">
      <w:start w:val="1"/>
      <w:numFmt w:val="bullet"/>
      <w:lvlText w:val="•"/>
      <w:lvlJc w:val="left"/>
      <w:pPr>
        <w:tabs>
          <w:tab w:val="num" w:pos="2880"/>
        </w:tabs>
        <w:ind w:left="2880" w:hanging="360"/>
      </w:pPr>
      <w:rPr>
        <w:rFonts w:ascii="Arial" w:hAnsi="Arial" w:hint="default"/>
      </w:rPr>
    </w:lvl>
    <w:lvl w:ilvl="4" w:tplc="3E3E5856" w:tentative="1">
      <w:start w:val="1"/>
      <w:numFmt w:val="bullet"/>
      <w:lvlText w:val="•"/>
      <w:lvlJc w:val="left"/>
      <w:pPr>
        <w:tabs>
          <w:tab w:val="num" w:pos="3600"/>
        </w:tabs>
        <w:ind w:left="3600" w:hanging="360"/>
      </w:pPr>
      <w:rPr>
        <w:rFonts w:ascii="Arial" w:hAnsi="Arial" w:hint="default"/>
      </w:rPr>
    </w:lvl>
    <w:lvl w:ilvl="5" w:tplc="7332C62E" w:tentative="1">
      <w:start w:val="1"/>
      <w:numFmt w:val="bullet"/>
      <w:lvlText w:val="•"/>
      <w:lvlJc w:val="left"/>
      <w:pPr>
        <w:tabs>
          <w:tab w:val="num" w:pos="4320"/>
        </w:tabs>
        <w:ind w:left="4320" w:hanging="360"/>
      </w:pPr>
      <w:rPr>
        <w:rFonts w:ascii="Arial" w:hAnsi="Arial" w:hint="default"/>
      </w:rPr>
    </w:lvl>
    <w:lvl w:ilvl="6" w:tplc="65BC362E" w:tentative="1">
      <w:start w:val="1"/>
      <w:numFmt w:val="bullet"/>
      <w:lvlText w:val="•"/>
      <w:lvlJc w:val="left"/>
      <w:pPr>
        <w:tabs>
          <w:tab w:val="num" w:pos="5040"/>
        </w:tabs>
        <w:ind w:left="5040" w:hanging="360"/>
      </w:pPr>
      <w:rPr>
        <w:rFonts w:ascii="Arial" w:hAnsi="Arial" w:hint="default"/>
      </w:rPr>
    </w:lvl>
    <w:lvl w:ilvl="7" w:tplc="03029EA0" w:tentative="1">
      <w:start w:val="1"/>
      <w:numFmt w:val="bullet"/>
      <w:lvlText w:val="•"/>
      <w:lvlJc w:val="left"/>
      <w:pPr>
        <w:tabs>
          <w:tab w:val="num" w:pos="5760"/>
        </w:tabs>
        <w:ind w:left="5760" w:hanging="360"/>
      </w:pPr>
      <w:rPr>
        <w:rFonts w:ascii="Arial" w:hAnsi="Arial" w:hint="default"/>
      </w:rPr>
    </w:lvl>
    <w:lvl w:ilvl="8" w:tplc="112868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C44B4B"/>
    <w:multiLevelType w:val="hybridMultilevel"/>
    <w:tmpl w:val="336E7B2C"/>
    <w:lvl w:ilvl="0" w:tplc="04090005">
      <w:start w:val="1"/>
      <w:numFmt w:val="bullet"/>
      <w:lvlText w:val=""/>
      <w:lvlJc w:val="left"/>
      <w:pPr>
        <w:ind w:left="927" w:hanging="360"/>
      </w:pPr>
      <w:rPr>
        <w:rFonts w:ascii="Wingdings" w:hAnsi="Wingding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88E17EE"/>
    <w:multiLevelType w:val="hybridMultilevel"/>
    <w:tmpl w:val="242888F0"/>
    <w:lvl w:ilvl="0" w:tplc="04090005">
      <w:start w:val="1"/>
      <w:numFmt w:val="bullet"/>
      <w:lvlText w:val=""/>
      <w:lvlJc w:val="left"/>
      <w:pPr>
        <w:ind w:left="927" w:hanging="360"/>
      </w:pPr>
      <w:rPr>
        <w:rFonts w:ascii="Wingdings" w:hAnsi="Wingding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66465C19"/>
    <w:multiLevelType w:val="hybridMultilevel"/>
    <w:tmpl w:val="FF82DB3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9A712D"/>
    <w:multiLevelType w:val="multilevel"/>
    <w:tmpl w:val="183AB72C"/>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D972FF"/>
    <w:multiLevelType w:val="hybridMultilevel"/>
    <w:tmpl w:val="FD36C43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490613">
    <w:abstractNumId w:val="9"/>
  </w:num>
  <w:num w:numId="2" w16cid:durableId="1055543943">
    <w:abstractNumId w:val="13"/>
  </w:num>
  <w:num w:numId="3" w16cid:durableId="1011637514">
    <w:abstractNumId w:val="1"/>
  </w:num>
  <w:num w:numId="4" w16cid:durableId="1915972848">
    <w:abstractNumId w:val="4"/>
  </w:num>
  <w:num w:numId="5" w16cid:durableId="283196376">
    <w:abstractNumId w:val="0"/>
  </w:num>
  <w:num w:numId="6" w16cid:durableId="264925147">
    <w:abstractNumId w:val="19"/>
  </w:num>
  <w:num w:numId="7" w16cid:durableId="1786269936">
    <w:abstractNumId w:val="8"/>
  </w:num>
  <w:num w:numId="8" w16cid:durableId="1031223477">
    <w:abstractNumId w:val="18"/>
  </w:num>
  <w:num w:numId="9" w16cid:durableId="1207794094">
    <w:abstractNumId w:val="17"/>
  </w:num>
  <w:num w:numId="10" w16cid:durableId="888110536">
    <w:abstractNumId w:val="5"/>
  </w:num>
  <w:num w:numId="11" w16cid:durableId="887228286">
    <w:abstractNumId w:val="16"/>
  </w:num>
  <w:num w:numId="12" w16cid:durableId="255022237">
    <w:abstractNumId w:val="12"/>
  </w:num>
  <w:num w:numId="13" w16cid:durableId="887186398">
    <w:abstractNumId w:val="15"/>
  </w:num>
  <w:num w:numId="14" w16cid:durableId="984697388">
    <w:abstractNumId w:val="6"/>
  </w:num>
  <w:num w:numId="15" w16cid:durableId="1668557320">
    <w:abstractNumId w:val="7"/>
  </w:num>
  <w:num w:numId="16" w16cid:durableId="944339620">
    <w:abstractNumId w:val="14"/>
  </w:num>
  <w:num w:numId="17" w16cid:durableId="1161043766">
    <w:abstractNumId w:val="3"/>
  </w:num>
  <w:num w:numId="18" w16cid:durableId="1220897942">
    <w:abstractNumId w:val="2"/>
  </w:num>
  <w:num w:numId="19" w16cid:durableId="2123110298">
    <w:abstractNumId w:val="10"/>
  </w:num>
  <w:num w:numId="20" w16cid:durableId="92671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4F"/>
    <w:rsid w:val="00005F25"/>
    <w:rsid w:val="000303CD"/>
    <w:rsid w:val="00041128"/>
    <w:rsid w:val="0005458B"/>
    <w:rsid w:val="000605F5"/>
    <w:rsid w:val="000649CF"/>
    <w:rsid w:val="0006714F"/>
    <w:rsid w:val="00092CFB"/>
    <w:rsid w:val="00097537"/>
    <w:rsid w:val="000A02C8"/>
    <w:rsid w:val="000C1299"/>
    <w:rsid w:val="000C1F3B"/>
    <w:rsid w:val="000C4C13"/>
    <w:rsid w:val="00105EA5"/>
    <w:rsid w:val="00142CC3"/>
    <w:rsid w:val="00153035"/>
    <w:rsid w:val="00246A30"/>
    <w:rsid w:val="002540BA"/>
    <w:rsid w:val="00273FCB"/>
    <w:rsid w:val="00283AD1"/>
    <w:rsid w:val="00294C26"/>
    <w:rsid w:val="002B2342"/>
    <w:rsid w:val="002D775E"/>
    <w:rsid w:val="002E703A"/>
    <w:rsid w:val="002F43F4"/>
    <w:rsid w:val="002F7313"/>
    <w:rsid w:val="003622FE"/>
    <w:rsid w:val="00367AD0"/>
    <w:rsid w:val="0037707F"/>
    <w:rsid w:val="00395799"/>
    <w:rsid w:val="00396662"/>
    <w:rsid w:val="003C4E2C"/>
    <w:rsid w:val="003D31D6"/>
    <w:rsid w:val="003D4DB7"/>
    <w:rsid w:val="00411440"/>
    <w:rsid w:val="00433E37"/>
    <w:rsid w:val="00463486"/>
    <w:rsid w:val="004726DB"/>
    <w:rsid w:val="00497621"/>
    <w:rsid w:val="004B62FC"/>
    <w:rsid w:val="004F7A8C"/>
    <w:rsid w:val="0051616F"/>
    <w:rsid w:val="00560F80"/>
    <w:rsid w:val="00574220"/>
    <w:rsid w:val="005A6EE8"/>
    <w:rsid w:val="005B2DC6"/>
    <w:rsid w:val="005D48DA"/>
    <w:rsid w:val="005E1F69"/>
    <w:rsid w:val="005F64A3"/>
    <w:rsid w:val="005F7E08"/>
    <w:rsid w:val="00641961"/>
    <w:rsid w:val="00672407"/>
    <w:rsid w:val="006746D1"/>
    <w:rsid w:val="006E78EB"/>
    <w:rsid w:val="006F6376"/>
    <w:rsid w:val="007D48B5"/>
    <w:rsid w:val="007D6E05"/>
    <w:rsid w:val="008260F0"/>
    <w:rsid w:val="00882BDC"/>
    <w:rsid w:val="008941A2"/>
    <w:rsid w:val="00895FCB"/>
    <w:rsid w:val="008A3415"/>
    <w:rsid w:val="008B3DBC"/>
    <w:rsid w:val="008D5F02"/>
    <w:rsid w:val="00976E57"/>
    <w:rsid w:val="00983EB2"/>
    <w:rsid w:val="009A2D42"/>
    <w:rsid w:val="00A00C81"/>
    <w:rsid w:val="00A54ED8"/>
    <w:rsid w:val="00A65F5C"/>
    <w:rsid w:val="00A70B7B"/>
    <w:rsid w:val="00A826DD"/>
    <w:rsid w:val="00AA5266"/>
    <w:rsid w:val="00B3729F"/>
    <w:rsid w:val="00B54ABC"/>
    <w:rsid w:val="00B94F6E"/>
    <w:rsid w:val="00BA4311"/>
    <w:rsid w:val="00BB77D7"/>
    <w:rsid w:val="00BD5125"/>
    <w:rsid w:val="00C20A80"/>
    <w:rsid w:val="00C52AC0"/>
    <w:rsid w:val="00C55286"/>
    <w:rsid w:val="00C74AEF"/>
    <w:rsid w:val="00C77A49"/>
    <w:rsid w:val="00CF2002"/>
    <w:rsid w:val="00D041EE"/>
    <w:rsid w:val="00D154D3"/>
    <w:rsid w:val="00D17E75"/>
    <w:rsid w:val="00D87809"/>
    <w:rsid w:val="00DB2C5A"/>
    <w:rsid w:val="00E50434"/>
    <w:rsid w:val="00E97E0F"/>
    <w:rsid w:val="00EE1B62"/>
    <w:rsid w:val="00EE23DC"/>
    <w:rsid w:val="00EF38E4"/>
    <w:rsid w:val="00F05249"/>
    <w:rsid w:val="00F30FF0"/>
    <w:rsid w:val="00F55927"/>
    <w:rsid w:val="00FC6F46"/>
    <w:rsid w:val="00FF5B90"/>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0D4E"/>
  <w15:chartTrackingRefBased/>
  <w15:docId w15:val="{08276E0C-C3A2-6441-A348-2410BAB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t-E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4F"/>
    <w:pPr>
      <w:spacing w:after="120"/>
      <w:jc w:val="both"/>
    </w:pPr>
    <w:rPr>
      <w:rFonts w:ascii="Corbel" w:eastAsia="Corbel" w:hAnsi="Corbel" w:cs="Corbe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06714F"/>
    <w:pPr>
      <w:spacing w:after="0"/>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qFormat/>
    <w:rsid w:val="0006714F"/>
    <w:rPr>
      <w:rFonts w:ascii="Corbel" w:eastAsia="Corbel" w:hAnsi="Corbel" w:cs="Corbel"/>
      <w:sz w:val="20"/>
      <w:szCs w:val="20"/>
      <w:lang w:val="et-EE" w:eastAsia="et-EE"/>
    </w:rPr>
  </w:style>
  <w:style w:type="character" w:styleId="FootnoteReference">
    <w:name w:val="footnote reference"/>
    <w:basedOn w:val="DefaultParagraphFont"/>
    <w:uiPriority w:val="99"/>
    <w:unhideWhenUsed/>
    <w:qFormat/>
    <w:rsid w:val="0006714F"/>
    <w:rPr>
      <w:vertAlign w:val="superscript"/>
    </w:rPr>
  </w:style>
  <w:style w:type="paragraph" w:styleId="ListParagraph">
    <w:name w:val="List Paragraph"/>
    <w:basedOn w:val="Normal"/>
    <w:uiPriority w:val="34"/>
    <w:qFormat/>
    <w:rsid w:val="00D154D3"/>
    <w:pPr>
      <w:ind w:left="720"/>
      <w:contextualSpacing/>
    </w:pPr>
  </w:style>
  <w:style w:type="paragraph" w:styleId="Revision">
    <w:name w:val="Revision"/>
    <w:hidden/>
    <w:uiPriority w:val="99"/>
    <w:semiHidden/>
    <w:rsid w:val="00976E57"/>
    <w:rPr>
      <w:rFonts w:ascii="Corbel" w:eastAsia="Corbel" w:hAnsi="Corbel" w:cs="Corbel"/>
      <w:lang w:eastAsia="et-EE"/>
    </w:rPr>
  </w:style>
  <w:style w:type="character" w:styleId="Hyperlink">
    <w:name w:val="Hyperlink"/>
    <w:basedOn w:val="DefaultParagraphFont"/>
    <w:uiPriority w:val="99"/>
    <w:unhideWhenUsed/>
    <w:rsid w:val="005B2DC6"/>
    <w:rPr>
      <w:color w:val="0563C1" w:themeColor="hyperlink"/>
      <w:u w:val="single"/>
    </w:rPr>
  </w:style>
  <w:style w:type="character" w:styleId="UnresolvedMention">
    <w:name w:val="Unresolved Mention"/>
    <w:basedOn w:val="DefaultParagraphFont"/>
    <w:uiPriority w:val="99"/>
    <w:semiHidden/>
    <w:unhideWhenUsed/>
    <w:rsid w:val="005B2DC6"/>
    <w:rPr>
      <w:color w:val="605E5C"/>
      <w:shd w:val="clear" w:color="auto" w:fill="E1DFDD"/>
    </w:rPr>
  </w:style>
  <w:style w:type="character" w:styleId="CommentReference">
    <w:name w:val="annotation reference"/>
    <w:basedOn w:val="DefaultParagraphFont"/>
    <w:uiPriority w:val="99"/>
    <w:semiHidden/>
    <w:unhideWhenUsed/>
    <w:rsid w:val="000A02C8"/>
    <w:rPr>
      <w:sz w:val="16"/>
      <w:szCs w:val="16"/>
    </w:rPr>
  </w:style>
  <w:style w:type="paragraph" w:styleId="CommentText">
    <w:name w:val="annotation text"/>
    <w:basedOn w:val="Normal"/>
    <w:link w:val="CommentTextChar"/>
    <w:uiPriority w:val="99"/>
    <w:semiHidden/>
    <w:unhideWhenUsed/>
    <w:rsid w:val="000A02C8"/>
    <w:rPr>
      <w:sz w:val="20"/>
      <w:szCs w:val="20"/>
    </w:rPr>
  </w:style>
  <w:style w:type="character" w:customStyle="1" w:styleId="CommentTextChar">
    <w:name w:val="Comment Text Char"/>
    <w:basedOn w:val="DefaultParagraphFont"/>
    <w:link w:val="CommentText"/>
    <w:uiPriority w:val="99"/>
    <w:semiHidden/>
    <w:rsid w:val="000A02C8"/>
    <w:rPr>
      <w:rFonts w:ascii="Corbel" w:eastAsia="Corbel" w:hAnsi="Corbel" w:cs="Corbel"/>
      <w:sz w:val="20"/>
      <w:szCs w:val="20"/>
      <w:lang w:val="et-EE" w:eastAsia="et-EE"/>
    </w:rPr>
  </w:style>
  <w:style w:type="paragraph" w:styleId="CommentSubject">
    <w:name w:val="annotation subject"/>
    <w:basedOn w:val="CommentText"/>
    <w:next w:val="CommentText"/>
    <w:link w:val="CommentSubjectChar"/>
    <w:uiPriority w:val="99"/>
    <w:semiHidden/>
    <w:unhideWhenUsed/>
    <w:rsid w:val="000A02C8"/>
    <w:rPr>
      <w:b/>
      <w:bCs/>
    </w:rPr>
  </w:style>
  <w:style w:type="character" w:customStyle="1" w:styleId="CommentSubjectChar">
    <w:name w:val="Comment Subject Char"/>
    <w:basedOn w:val="CommentTextChar"/>
    <w:link w:val="CommentSubject"/>
    <w:uiPriority w:val="99"/>
    <w:semiHidden/>
    <w:rsid w:val="000A02C8"/>
    <w:rPr>
      <w:rFonts w:ascii="Corbel" w:eastAsia="Corbel" w:hAnsi="Corbel" w:cs="Corbel"/>
      <w:b/>
      <w:bCs/>
      <w:sz w:val="20"/>
      <w:szCs w:val="20"/>
      <w:lang w:val="et-EE" w:eastAsia="et-EE"/>
    </w:rPr>
  </w:style>
  <w:style w:type="paragraph" w:styleId="Footer">
    <w:name w:val="footer"/>
    <w:basedOn w:val="Normal"/>
    <w:link w:val="FooterChar"/>
    <w:uiPriority w:val="99"/>
    <w:unhideWhenUsed/>
    <w:rsid w:val="006E78EB"/>
    <w:pPr>
      <w:tabs>
        <w:tab w:val="center" w:pos="4513"/>
        <w:tab w:val="right" w:pos="9026"/>
      </w:tabs>
      <w:spacing w:after="0"/>
    </w:pPr>
  </w:style>
  <w:style w:type="character" w:customStyle="1" w:styleId="FooterChar">
    <w:name w:val="Footer Char"/>
    <w:basedOn w:val="DefaultParagraphFont"/>
    <w:link w:val="Footer"/>
    <w:uiPriority w:val="99"/>
    <w:rsid w:val="006E78EB"/>
    <w:rPr>
      <w:rFonts w:ascii="Corbel" w:eastAsia="Corbel" w:hAnsi="Corbel" w:cs="Corbel"/>
      <w:lang w:eastAsia="et-EE"/>
    </w:rPr>
  </w:style>
  <w:style w:type="character" w:styleId="PageNumber">
    <w:name w:val="page number"/>
    <w:basedOn w:val="DefaultParagraphFont"/>
    <w:uiPriority w:val="99"/>
    <w:semiHidden/>
    <w:unhideWhenUsed/>
    <w:rsid w:val="006E7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1781">
      <w:bodyDiv w:val="1"/>
      <w:marLeft w:val="0"/>
      <w:marRight w:val="0"/>
      <w:marTop w:val="0"/>
      <w:marBottom w:val="0"/>
      <w:divBdr>
        <w:top w:val="none" w:sz="0" w:space="0" w:color="auto"/>
        <w:left w:val="none" w:sz="0" w:space="0" w:color="auto"/>
        <w:bottom w:val="none" w:sz="0" w:space="0" w:color="auto"/>
        <w:right w:val="none" w:sz="0" w:space="0" w:color="auto"/>
      </w:divBdr>
      <w:divsChild>
        <w:div w:id="183635857">
          <w:marLeft w:val="1080"/>
          <w:marRight w:val="0"/>
          <w:marTop w:val="100"/>
          <w:marBottom w:val="0"/>
          <w:divBdr>
            <w:top w:val="none" w:sz="0" w:space="0" w:color="auto"/>
            <w:left w:val="none" w:sz="0" w:space="0" w:color="auto"/>
            <w:bottom w:val="none" w:sz="0" w:space="0" w:color="auto"/>
            <w:right w:val="none" w:sz="0" w:space="0" w:color="auto"/>
          </w:divBdr>
        </w:div>
        <w:div w:id="757555009">
          <w:marLeft w:val="1080"/>
          <w:marRight w:val="0"/>
          <w:marTop w:val="100"/>
          <w:marBottom w:val="0"/>
          <w:divBdr>
            <w:top w:val="none" w:sz="0" w:space="0" w:color="auto"/>
            <w:left w:val="none" w:sz="0" w:space="0" w:color="auto"/>
            <w:bottom w:val="none" w:sz="0" w:space="0" w:color="auto"/>
            <w:right w:val="none" w:sz="0" w:space="0" w:color="auto"/>
          </w:divBdr>
        </w:div>
        <w:div w:id="986280128">
          <w:marLeft w:val="1080"/>
          <w:marRight w:val="0"/>
          <w:marTop w:val="100"/>
          <w:marBottom w:val="0"/>
          <w:divBdr>
            <w:top w:val="none" w:sz="0" w:space="0" w:color="auto"/>
            <w:left w:val="none" w:sz="0" w:space="0" w:color="auto"/>
            <w:bottom w:val="none" w:sz="0" w:space="0" w:color="auto"/>
            <w:right w:val="none" w:sz="0" w:space="0" w:color="auto"/>
          </w:divBdr>
        </w:div>
      </w:divsChild>
    </w:div>
    <w:div w:id="704137348">
      <w:bodyDiv w:val="1"/>
      <w:marLeft w:val="0"/>
      <w:marRight w:val="0"/>
      <w:marTop w:val="0"/>
      <w:marBottom w:val="0"/>
      <w:divBdr>
        <w:top w:val="none" w:sz="0" w:space="0" w:color="auto"/>
        <w:left w:val="none" w:sz="0" w:space="0" w:color="auto"/>
        <w:bottom w:val="none" w:sz="0" w:space="0" w:color="auto"/>
        <w:right w:val="none" w:sz="0" w:space="0" w:color="auto"/>
      </w:divBdr>
      <w:divsChild>
        <w:div w:id="702679035">
          <w:marLeft w:val="0"/>
          <w:marRight w:val="0"/>
          <w:marTop w:val="0"/>
          <w:marBottom w:val="0"/>
          <w:divBdr>
            <w:top w:val="none" w:sz="0" w:space="0" w:color="auto"/>
            <w:left w:val="none" w:sz="0" w:space="0" w:color="auto"/>
            <w:bottom w:val="none" w:sz="0" w:space="0" w:color="auto"/>
            <w:right w:val="none" w:sz="0" w:space="0" w:color="auto"/>
          </w:divBdr>
          <w:divsChild>
            <w:div w:id="318996230">
              <w:marLeft w:val="0"/>
              <w:marRight w:val="0"/>
              <w:marTop w:val="0"/>
              <w:marBottom w:val="0"/>
              <w:divBdr>
                <w:top w:val="none" w:sz="0" w:space="0" w:color="auto"/>
                <w:left w:val="none" w:sz="0" w:space="0" w:color="auto"/>
                <w:bottom w:val="none" w:sz="0" w:space="0" w:color="auto"/>
                <w:right w:val="none" w:sz="0" w:space="0" w:color="auto"/>
              </w:divBdr>
              <w:divsChild>
                <w:div w:id="728458811">
                  <w:marLeft w:val="0"/>
                  <w:marRight w:val="0"/>
                  <w:marTop w:val="0"/>
                  <w:marBottom w:val="0"/>
                  <w:divBdr>
                    <w:top w:val="none" w:sz="0" w:space="0" w:color="auto"/>
                    <w:left w:val="none" w:sz="0" w:space="0" w:color="auto"/>
                    <w:bottom w:val="none" w:sz="0" w:space="0" w:color="auto"/>
                    <w:right w:val="none" w:sz="0" w:space="0" w:color="auto"/>
                  </w:divBdr>
                  <w:divsChild>
                    <w:div w:id="2160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07796">
      <w:bodyDiv w:val="1"/>
      <w:marLeft w:val="0"/>
      <w:marRight w:val="0"/>
      <w:marTop w:val="0"/>
      <w:marBottom w:val="0"/>
      <w:divBdr>
        <w:top w:val="none" w:sz="0" w:space="0" w:color="auto"/>
        <w:left w:val="none" w:sz="0" w:space="0" w:color="auto"/>
        <w:bottom w:val="none" w:sz="0" w:space="0" w:color="auto"/>
        <w:right w:val="none" w:sz="0" w:space="0" w:color="auto"/>
      </w:divBdr>
      <w:divsChild>
        <w:div w:id="1244606714">
          <w:marLeft w:val="806"/>
          <w:marRight w:val="0"/>
          <w:marTop w:val="200"/>
          <w:marBottom w:val="0"/>
          <w:divBdr>
            <w:top w:val="none" w:sz="0" w:space="0" w:color="auto"/>
            <w:left w:val="none" w:sz="0" w:space="0" w:color="auto"/>
            <w:bottom w:val="none" w:sz="0" w:space="0" w:color="auto"/>
            <w:right w:val="none" w:sz="0" w:space="0" w:color="auto"/>
          </w:divBdr>
        </w:div>
        <w:div w:id="2124499847">
          <w:marLeft w:val="806"/>
          <w:marRight w:val="0"/>
          <w:marTop w:val="200"/>
          <w:marBottom w:val="0"/>
          <w:divBdr>
            <w:top w:val="none" w:sz="0" w:space="0" w:color="auto"/>
            <w:left w:val="none" w:sz="0" w:space="0" w:color="auto"/>
            <w:bottom w:val="none" w:sz="0" w:space="0" w:color="auto"/>
            <w:right w:val="none" w:sz="0" w:space="0" w:color="auto"/>
          </w:divBdr>
        </w:div>
        <w:div w:id="2003123958">
          <w:marLeft w:val="806"/>
          <w:marRight w:val="0"/>
          <w:marTop w:val="200"/>
          <w:marBottom w:val="0"/>
          <w:divBdr>
            <w:top w:val="none" w:sz="0" w:space="0" w:color="auto"/>
            <w:left w:val="none" w:sz="0" w:space="0" w:color="auto"/>
            <w:bottom w:val="none" w:sz="0" w:space="0" w:color="auto"/>
            <w:right w:val="none" w:sz="0" w:space="0" w:color="auto"/>
          </w:divBdr>
        </w:div>
        <w:div w:id="2059890717">
          <w:marLeft w:val="806"/>
          <w:marRight w:val="0"/>
          <w:marTop w:val="200"/>
          <w:marBottom w:val="0"/>
          <w:divBdr>
            <w:top w:val="none" w:sz="0" w:space="0" w:color="auto"/>
            <w:left w:val="none" w:sz="0" w:space="0" w:color="auto"/>
            <w:bottom w:val="none" w:sz="0" w:space="0" w:color="auto"/>
            <w:right w:val="none" w:sz="0" w:space="0" w:color="auto"/>
          </w:divBdr>
        </w:div>
      </w:divsChild>
    </w:div>
    <w:div w:id="1014843349">
      <w:bodyDiv w:val="1"/>
      <w:marLeft w:val="0"/>
      <w:marRight w:val="0"/>
      <w:marTop w:val="0"/>
      <w:marBottom w:val="0"/>
      <w:divBdr>
        <w:top w:val="none" w:sz="0" w:space="0" w:color="auto"/>
        <w:left w:val="none" w:sz="0" w:space="0" w:color="auto"/>
        <w:bottom w:val="none" w:sz="0" w:space="0" w:color="auto"/>
        <w:right w:val="none" w:sz="0" w:space="0" w:color="auto"/>
      </w:divBdr>
      <w:divsChild>
        <w:div w:id="1121067762">
          <w:marLeft w:val="0"/>
          <w:marRight w:val="0"/>
          <w:marTop w:val="0"/>
          <w:marBottom w:val="0"/>
          <w:divBdr>
            <w:top w:val="none" w:sz="0" w:space="0" w:color="auto"/>
            <w:left w:val="none" w:sz="0" w:space="0" w:color="auto"/>
            <w:bottom w:val="none" w:sz="0" w:space="0" w:color="auto"/>
            <w:right w:val="none" w:sz="0" w:space="0" w:color="auto"/>
          </w:divBdr>
          <w:divsChild>
            <w:div w:id="1509370524">
              <w:marLeft w:val="0"/>
              <w:marRight w:val="0"/>
              <w:marTop w:val="0"/>
              <w:marBottom w:val="0"/>
              <w:divBdr>
                <w:top w:val="none" w:sz="0" w:space="0" w:color="auto"/>
                <w:left w:val="none" w:sz="0" w:space="0" w:color="auto"/>
                <w:bottom w:val="none" w:sz="0" w:space="0" w:color="auto"/>
                <w:right w:val="none" w:sz="0" w:space="0" w:color="auto"/>
              </w:divBdr>
              <w:divsChild>
                <w:div w:id="292372794">
                  <w:marLeft w:val="0"/>
                  <w:marRight w:val="0"/>
                  <w:marTop w:val="0"/>
                  <w:marBottom w:val="0"/>
                  <w:divBdr>
                    <w:top w:val="none" w:sz="0" w:space="0" w:color="auto"/>
                    <w:left w:val="none" w:sz="0" w:space="0" w:color="auto"/>
                    <w:bottom w:val="none" w:sz="0" w:space="0" w:color="auto"/>
                    <w:right w:val="none" w:sz="0" w:space="0" w:color="auto"/>
                  </w:divBdr>
                  <w:divsChild>
                    <w:div w:id="4271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67679">
      <w:bodyDiv w:val="1"/>
      <w:marLeft w:val="0"/>
      <w:marRight w:val="0"/>
      <w:marTop w:val="0"/>
      <w:marBottom w:val="0"/>
      <w:divBdr>
        <w:top w:val="none" w:sz="0" w:space="0" w:color="auto"/>
        <w:left w:val="none" w:sz="0" w:space="0" w:color="auto"/>
        <w:bottom w:val="none" w:sz="0" w:space="0" w:color="auto"/>
        <w:right w:val="none" w:sz="0" w:space="0" w:color="auto"/>
      </w:divBdr>
    </w:div>
    <w:div w:id="1744912567">
      <w:bodyDiv w:val="1"/>
      <w:marLeft w:val="0"/>
      <w:marRight w:val="0"/>
      <w:marTop w:val="0"/>
      <w:marBottom w:val="0"/>
      <w:divBdr>
        <w:top w:val="none" w:sz="0" w:space="0" w:color="auto"/>
        <w:left w:val="none" w:sz="0" w:space="0" w:color="auto"/>
        <w:bottom w:val="none" w:sz="0" w:space="0" w:color="auto"/>
        <w:right w:val="none" w:sz="0" w:space="0" w:color="auto"/>
      </w:divBdr>
      <w:divsChild>
        <w:div w:id="567039452">
          <w:marLeft w:val="0"/>
          <w:marRight w:val="0"/>
          <w:marTop w:val="0"/>
          <w:marBottom w:val="0"/>
          <w:divBdr>
            <w:top w:val="none" w:sz="0" w:space="0" w:color="auto"/>
            <w:left w:val="none" w:sz="0" w:space="0" w:color="auto"/>
            <w:bottom w:val="none" w:sz="0" w:space="0" w:color="auto"/>
            <w:right w:val="none" w:sz="0" w:space="0" w:color="auto"/>
          </w:divBdr>
          <w:divsChild>
            <w:div w:id="934829273">
              <w:marLeft w:val="0"/>
              <w:marRight w:val="0"/>
              <w:marTop w:val="0"/>
              <w:marBottom w:val="0"/>
              <w:divBdr>
                <w:top w:val="none" w:sz="0" w:space="0" w:color="auto"/>
                <w:left w:val="none" w:sz="0" w:space="0" w:color="auto"/>
                <w:bottom w:val="none" w:sz="0" w:space="0" w:color="auto"/>
                <w:right w:val="none" w:sz="0" w:space="0" w:color="auto"/>
              </w:divBdr>
              <w:divsChild>
                <w:div w:id="1046291697">
                  <w:marLeft w:val="0"/>
                  <w:marRight w:val="0"/>
                  <w:marTop w:val="0"/>
                  <w:marBottom w:val="0"/>
                  <w:divBdr>
                    <w:top w:val="none" w:sz="0" w:space="0" w:color="auto"/>
                    <w:left w:val="none" w:sz="0" w:space="0" w:color="auto"/>
                    <w:bottom w:val="none" w:sz="0" w:space="0" w:color="auto"/>
                    <w:right w:val="none" w:sz="0" w:space="0" w:color="auto"/>
                  </w:divBdr>
                  <w:divsChild>
                    <w:div w:id="2614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88072">
      <w:bodyDiv w:val="1"/>
      <w:marLeft w:val="0"/>
      <w:marRight w:val="0"/>
      <w:marTop w:val="0"/>
      <w:marBottom w:val="0"/>
      <w:divBdr>
        <w:top w:val="none" w:sz="0" w:space="0" w:color="auto"/>
        <w:left w:val="none" w:sz="0" w:space="0" w:color="auto"/>
        <w:bottom w:val="none" w:sz="0" w:space="0" w:color="auto"/>
        <w:right w:val="none" w:sz="0" w:space="0" w:color="auto"/>
      </w:divBdr>
      <w:divsChild>
        <w:div w:id="240219394">
          <w:marLeft w:val="1080"/>
          <w:marRight w:val="0"/>
          <w:marTop w:val="100"/>
          <w:marBottom w:val="0"/>
          <w:divBdr>
            <w:top w:val="none" w:sz="0" w:space="0" w:color="auto"/>
            <w:left w:val="none" w:sz="0" w:space="0" w:color="auto"/>
            <w:bottom w:val="none" w:sz="0" w:space="0" w:color="auto"/>
            <w:right w:val="none" w:sz="0" w:space="0" w:color="auto"/>
          </w:divBdr>
        </w:div>
        <w:div w:id="914776395">
          <w:marLeft w:val="1080"/>
          <w:marRight w:val="0"/>
          <w:marTop w:val="100"/>
          <w:marBottom w:val="0"/>
          <w:divBdr>
            <w:top w:val="none" w:sz="0" w:space="0" w:color="auto"/>
            <w:left w:val="none" w:sz="0" w:space="0" w:color="auto"/>
            <w:bottom w:val="none" w:sz="0" w:space="0" w:color="auto"/>
            <w:right w:val="none" w:sz="0" w:space="0" w:color="auto"/>
          </w:divBdr>
        </w:div>
        <w:div w:id="547960643">
          <w:marLeft w:val="1080"/>
          <w:marRight w:val="0"/>
          <w:marTop w:val="100"/>
          <w:marBottom w:val="0"/>
          <w:divBdr>
            <w:top w:val="none" w:sz="0" w:space="0" w:color="auto"/>
            <w:left w:val="none" w:sz="0" w:space="0" w:color="auto"/>
            <w:bottom w:val="none" w:sz="0" w:space="0" w:color="auto"/>
            <w:right w:val="none" w:sz="0" w:space="0" w:color="auto"/>
          </w:divBdr>
        </w:div>
        <w:div w:id="1115293228">
          <w:marLeft w:val="1080"/>
          <w:marRight w:val="0"/>
          <w:marTop w:val="100"/>
          <w:marBottom w:val="0"/>
          <w:divBdr>
            <w:top w:val="none" w:sz="0" w:space="0" w:color="auto"/>
            <w:left w:val="none" w:sz="0" w:space="0" w:color="auto"/>
            <w:bottom w:val="none" w:sz="0" w:space="0" w:color="auto"/>
            <w:right w:val="none" w:sz="0" w:space="0" w:color="auto"/>
          </w:divBdr>
        </w:div>
        <w:div w:id="1894728521">
          <w:marLeft w:val="1080"/>
          <w:marRight w:val="0"/>
          <w:marTop w:val="100"/>
          <w:marBottom w:val="0"/>
          <w:divBdr>
            <w:top w:val="none" w:sz="0" w:space="0" w:color="auto"/>
            <w:left w:val="none" w:sz="0" w:space="0" w:color="auto"/>
            <w:bottom w:val="none" w:sz="0" w:space="0" w:color="auto"/>
            <w:right w:val="none" w:sz="0" w:space="0" w:color="auto"/>
          </w:divBdr>
        </w:div>
      </w:divsChild>
    </w:div>
    <w:div w:id="1982809889">
      <w:bodyDiv w:val="1"/>
      <w:marLeft w:val="0"/>
      <w:marRight w:val="0"/>
      <w:marTop w:val="0"/>
      <w:marBottom w:val="0"/>
      <w:divBdr>
        <w:top w:val="none" w:sz="0" w:space="0" w:color="auto"/>
        <w:left w:val="none" w:sz="0" w:space="0" w:color="auto"/>
        <w:bottom w:val="none" w:sz="0" w:space="0" w:color="auto"/>
        <w:right w:val="none" w:sz="0" w:space="0" w:color="auto"/>
      </w:divBdr>
      <w:divsChild>
        <w:div w:id="687369854">
          <w:marLeft w:val="1080"/>
          <w:marRight w:val="0"/>
          <w:marTop w:val="100"/>
          <w:marBottom w:val="0"/>
          <w:divBdr>
            <w:top w:val="none" w:sz="0" w:space="0" w:color="auto"/>
            <w:left w:val="none" w:sz="0" w:space="0" w:color="auto"/>
            <w:bottom w:val="none" w:sz="0" w:space="0" w:color="auto"/>
            <w:right w:val="none" w:sz="0" w:space="0" w:color="auto"/>
          </w:divBdr>
        </w:div>
        <w:div w:id="8220308">
          <w:marLeft w:val="1080"/>
          <w:marRight w:val="0"/>
          <w:marTop w:val="100"/>
          <w:marBottom w:val="0"/>
          <w:divBdr>
            <w:top w:val="none" w:sz="0" w:space="0" w:color="auto"/>
            <w:left w:val="none" w:sz="0" w:space="0" w:color="auto"/>
            <w:bottom w:val="none" w:sz="0" w:space="0" w:color="auto"/>
            <w:right w:val="none" w:sz="0" w:space="0" w:color="auto"/>
          </w:divBdr>
        </w:div>
        <w:div w:id="1443185704">
          <w:marLeft w:val="1080"/>
          <w:marRight w:val="0"/>
          <w:marTop w:val="100"/>
          <w:marBottom w:val="0"/>
          <w:divBdr>
            <w:top w:val="none" w:sz="0" w:space="0" w:color="auto"/>
            <w:left w:val="none" w:sz="0" w:space="0" w:color="auto"/>
            <w:bottom w:val="none" w:sz="0" w:space="0" w:color="auto"/>
            <w:right w:val="none" w:sz="0" w:space="0" w:color="auto"/>
          </w:divBdr>
        </w:div>
        <w:div w:id="1994065575">
          <w:marLeft w:val="1080"/>
          <w:marRight w:val="0"/>
          <w:marTop w:val="100"/>
          <w:marBottom w:val="0"/>
          <w:divBdr>
            <w:top w:val="none" w:sz="0" w:space="0" w:color="auto"/>
            <w:left w:val="none" w:sz="0" w:space="0" w:color="auto"/>
            <w:bottom w:val="none" w:sz="0" w:space="0" w:color="auto"/>
            <w:right w:val="none" w:sz="0" w:space="0" w:color="auto"/>
          </w:divBdr>
        </w:div>
        <w:div w:id="662010154">
          <w:marLeft w:val="1080"/>
          <w:marRight w:val="0"/>
          <w:marTop w:val="100"/>
          <w:marBottom w:val="0"/>
          <w:divBdr>
            <w:top w:val="none" w:sz="0" w:space="0" w:color="auto"/>
            <w:left w:val="none" w:sz="0" w:space="0" w:color="auto"/>
            <w:bottom w:val="none" w:sz="0" w:space="0" w:color="auto"/>
            <w:right w:val="none" w:sz="0" w:space="0" w:color="auto"/>
          </w:divBdr>
        </w:div>
      </w:divsChild>
    </w:div>
    <w:div w:id="20489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1015</Words>
  <Characters>5384</Characters>
  <Application>Microsoft Office Word</Application>
  <DocSecurity>0</DocSecurity>
  <Lines>44</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Mihkel Laan</dc:creator>
  <cp:keywords/>
  <dc:description/>
  <cp:lastModifiedBy>Sille Noor</cp:lastModifiedBy>
  <cp:revision>2</cp:revision>
  <dcterms:created xsi:type="dcterms:W3CDTF">2023-05-05T12:33:00Z</dcterms:created>
  <dcterms:modified xsi:type="dcterms:W3CDTF">2023-05-05T12:33:00Z</dcterms:modified>
</cp:coreProperties>
</file>